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54" w:rsidRDefault="00ED4D54">
      <w:r>
        <w:rPr>
          <w:rFonts w:ascii="Arial" w:hAnsi="Arial" w:cs="Arial"/>
          <w:noProof/>
          <w:sz w:val="24"/>
          <w:szCs w:val="24"/>
          <w:lang w:eastAsia="pl-PL"/>
        </w:rPr>
        <w:drawing>
          <wp:anchor distT="0" distB="0" distL="114300" distR="114300" simplePos="0" relativeHeight="251661312" behindDoc="0" locked="0" layoutInCell="0" allowOverlap="1" wp14:anchorId="3AF6F06A" wp14:editId="2E71E767">
            <wp:simplePos x="0" y="0"/>
            <wp:positionH relativeFrom="column">
              <wp:posOffset>3809365</wp:posOffset>
            </wp:positionH>
            <wp:positionV relativeFrom="paragraph">
              <wp:posOffset>-339090</wp:posOffset>
            </wp:positionV>
            <wp:extent cx="1828800" cy="637540"/>
            <wp:effectExtent l="0" t="0" r="0" b="0"/>
            <wp:wrapTopAndBottom/>
            <wp:docPr id="2" name="Obraz 2" descr="logo_SSSEp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SSEpl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pl-PL"/>
        </w:rPr>
        <w:drawing>
          <wp:anchor distT="0" distB="0" distL="114300" distR="114300" simplePos="0" relativeHeight="251659264" behindDoc="0" locked="0" layoutInCell="0" allowOverlap="1" wp14:anchorId="5DA47254" wp14:editId="08C2F9D4">
            <wp:simplePos x="0" y="0"/>
            <wp:positionH relativeFrom="column">
              <wp:posOffset>-222250</wp:posOffset>
            </wp:positionH>
            <wp:positionV relativeFrom="paragraph">
              <wp:posOffset>-146050</wp:posOffset>
            </wp:positionV>
            <wp:extent cx="2286000" cy="450850"/>
            <wp:effectExtent l="0" t="0" r="0" b="6350"/>
            <wp:wrapTopAndBottom/>
            <wp:docPr id="1" name="Obraz 1" descr="logoP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D54" w:rsidRDefault="00ED4D54"/>
    <w:p w:rsidR="00E023D5" w:rsidRDefault="00E023D5"/>
    <w:p w:rsidR="00ED4D54" w:rsidRDefault="00ED4D54"/>
    <w:p w:rsidR="00ED4D54" w:rsidRDefault="00ED4D54"/>
    <w:p w:rsidR="00ED4D54" w:rsidRDefault="00ED4D54" w:rsidP="00ED4D54">
      <w:pPr>
        <w:jc w:val="center"/>
        <w:rPr>
          <w:rFonts w:ascii="Arial" w:hAnsi="Arial" w:cs="Arial"/>
          <w:b/>
          <w:sz w:val="36"/>
          <w:szCs w:val="36"/>
        </w:rPr>
      </w:pPr>
      <w:r w:rsidRPr="00ED4D54">
        <w:rPr>
          <w:rFonts w:ascii="Arial" w:hAnsi="Arial" w:cs="Arial"/>
          <w:b/>
          <w:sz w:val="36"/>
          <w:szCs w:val="36"/>
        </w:rPr>
        <w:t>Specyfikacja Istotnych Warunków Przetargu</w:t>
      </w:r>
    </w:p>
    <w:p w:rsidR="00ED4D54" w:rsidRDefault="00ED4D54" w:rsidP="00ED4D54">
      <w:pPr>
        <w:jc w:val="center"/>
        <w:rPr>
          <w:rFonts w:ascii="Arial" w:hAnsi="Arial" w:cs="Arial"/>
          <w:b/>
          <w:sz w:val="28"/>
          <w:szCs w:val="28"/>
        </w:rPr>
      </w:pPr>
      <w:r w:rsidRPr="00ED4D54">
        <w:rPr>
          <w:rFonts w:ascii="Arial" w:hAnsi="Arial" w:cs="Arial"/>
          <w:b/>
          <w:sz w:val="28"/>
          <w:szCs w:val="28"/>
        </w:rPr>
        <w:t xml:space="preserve">dotyczącego sprzedaży nieruchomości położonych w Podstrefie „Redzikowo” </w:t>
      </w:r>
    </w:p>
    <w:p w:rsidR="00ED4D54" w:rsidRDefault="00ED4D54" w:rsidP="00ED4D54">
      <w:pPr>
        <w:rPr>
          <w:rFonts w:ascii="Arial" w:hAnsi="Arial" w:cs="Arial"/>
          <w:b/>
          <w:sz w:val="28"/>
          <w:szCs w:val="28"/>
        </w:rPr>
      </w:pPr>
    </w:p>
    <w:p w:rsidR="00ED4D54" w:rsidRDefault="00ED4D54" w:rsidP="00ED4D54">
      <w:pPr>
        <w:rPr>
          <w:rFonts w:ascii="Arial" w:hAnsi="Arial" w:cs="Arial"/>
          <w:b/>
          <w:sz w:val="28"/>
          <w:szCs w:val="28"/>
        </w:rPr>
      </w:pPr>
    </w:p>
    <w:p w:rsidR="00FF7319" w:rsidRDefault="00FF7319" w:rsidP="00ED4D54">
      <w:pPr>
        <w:rPr>
          <w:rFonts w:ascii="Arial" w:hAnsi="Arial" w:cs="Arial"/>
          <w:b/>
          <w:sz w:val="28"/>
          <w:szCs w:val="28"/>
        </w:rPr>
      </w:pPr>
    </w:p>
    <w:p w:rsidR="00ED4D54" w:rsidRPr="00ED4D54" w:rsidRDefault="00096557" w:rsidP="00ED4D54">
      <w:pPr>
        <w:spacing w:after="0"/>
        <w:jc w:val="center"/>
        <w:rPr>
          <w:rFonts w:ascii="Arial" w:hAnsi="Arial" w:cs="Arial"/>
          <w:sz w:val="24"/>
          <w:szCs w:val="24"/>
        </w:rPr>
      </w:pPr>
      <w:r>
        <w:rPr>
          <w:rFonts w:ascii="Arial" w:hAnsi="Arial" w:cs="Arial"/>
          <w:sz w:val="24"/>
          <w:szCs w:val="24"/>
        </w:rPr>
        <w:t>Przetarg odbędzie się w dniu 20</w:t>
      </w:r>
      <w:r w:rsidR="00ED4D54" w:rsidRPr="00ED4D54">
        <w:rPr>
          <w:rFonts w:ascii="Arial" w:hAnsi="Arial" w:cs="Arial"/>
          <w:sz w:val="24"/>
          <w:szCs w:val="24"/>
        </w:rPr>
        <w:t xml:space="preserve"> grudnia 2019r.</w:t>
      </w:r>
    </w:p>
    <w:p w:rsidR="00ED4D54" w:rsidRPr="00ED4D54" w:rsidRDefault="00ED4D54" w:rsidP="00ED4D54">
      <w:pPr>
        <w:spacing w:after="0"/>
        <w:jc w:val="center"/>
        <w:rPr>
          <w:rFonts w:ascii="Arial" w:hAnsi="Arial" w:cs="Arial"/>
          <w:sz w:val="24"/>
          <w:szCs w:val="24"/>
        </w:rPr>
      </w:pPr>
      <w:r w:rsidRPr="00ED4D54">
        <w:rPr>
          <w:rFonts w:ascii="Arial" w:hAnsi="Arial" w:cs="Arial"/>
          <w:sz w:val="24"/>
          <w:szCs w:val="24"/>
        </w:rPr>
        <w:t>w siedzibie Pomorskiej Agencji Rozwoju Regionalnego S.A.</w:t>
      </w:r>
    </w:p>
    <w:p w:rsidR="00ED4D54" w:rsidRDefault="00ED4D54" w:rsidP="00ED4D54">
      <w:pPr>
        <w:spacing w:after="0"/>
        <w:jc w:val="center"/>
        <w:rPr>
          <w:rFonts w:ascii="Arial" w:hAnsi="Arial" w:cs="Arial"/>
          <w:sz w:val="24"/>
          <w:szCs w:val="24"/>
        </w:rPr>
      </w:pPr>
      <w:r w:rsidRPr="00ED4D54">
        <w:rPr>
          <w:rFonts w:ascii="Arial" w:hAnsi="Arial" w:cs="Arial"/>
          <w:sz w:val="24"/>
          <w:szCs w:val="24"/>
        </w:rPr>
        <w:t>przy ul. Obrońców Wybrzeża 2 w Słupsku</w:t>
      </w:r>
    </w:p>
    <w:p w:rsidR="00ED4D54" w:rsidRDefault="00ED4D54" w:rsidP="00ED4D54">
      <w:pPr>
        <w:spacing w:after="0"/>
        <w:jc w:val="center"/>
        <w:rPr>
          <w:rFonts w:ascii="Arial" w:hAnsi="Arial" w:cs="Arial"/>
          <w:sz w:val="24"/>
          <w:szCs w:val="24"/>
        </w:rPr>
      </w:pPr>
    </w:p>
    <w:p w:rsidR="00ED4D54" w:rsidRDefault="00ED4D54" w:rsidP="00ED4D54">
      <w:pPr>
        <w:spacing w:after="0"/>
        <w:jc w:val="center"/>
        <w:rPr>
          <w:rFonts w:ascii="Arial" w:hAnsi="Arial" w:cs="Arial"/>
          <w:sz w:val="24"/>
          <w:szCs w:val="24"/>
        </w:rPr>
      </w:pPr>
      <w:r>
        <w:rPr>
          <w:rFonts w:ascii="Arial" w:hAnsi="Arial" w:cs="Arial"/>
          <w:sz w:val="24"/>
          <w:szCs w:val="24"/>
        </w:rPr>
        <w:t xml:space="preserve"> </w:t>
      </w: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p w:rsidR="00FF7319" w:rsidRDefault="00FF7319" w:rsidP="00ED4D54">
      <w:pPr>
        <w:spacing w:after="0"/>
        <w:jc w:val="center"/>
        <w:rPr>
          <w:rFonts w:ascii="Arial" w:hAnsi="Arial" w:cs="Arial"/>
          <w:sz w:val="24"/>
          <w:szCs w:val="24"/>
        </w:rPr>
      </w:pPr>
    </w:p>
    <w:tbl>
      <w:tblPr>
        <w:tblStyle w:val="Tabela-Siatka"/>
        <w:tblW w:w="0" w:type="auto"/>
        <w:tblLook w:val="04A0" w:firstRow="1" w:lastRow="0" w:firstColumn="1" w:lastColumn="0" w:noHBand="0" w:noVBand="1"/>
      </w:tblPr>
      <w:tblGrid>
        <w:gridCol w:w="7621"/>
        <w:gridCol w:w="1591"/>
      </w:tblGrid>
      <w:tr w:rsidR="00A65491" w:rsidRPr="0019165D" w:rsidTr="00A65491">
        <w:tc>
          <w:tcPr>
            <w:tcW w:w="7621" w:type="dxa"/>
          </w:tcPr>
          <w:p w:rsidR="00A65491" w:rsidRPr="0019165D" w:rsidRDefault="00A65491" w:rsidP="00A65491">
            <w:pPr>
              <w:rPr>
                <w:rFonts w:ascii="Arial" w:hAnsi="Arial" w:cs="Arial"/>
                <w:b/>
                <w:sz w:val="24"/>
                <w:szCs w:val="24"/>
              </w:rPr>
            </w:pPr>
            <w:r w:rsidRPr="0019165D">
              <w:rPr>
                <w:rFonts w:ascii="Arial" w:hAnsi="Arial" w:cs="Arial"/>
                <w:b/>
                <w:sz w:val="24"/>
                <w:szCs w:val="24"/>
              </w:rPr>
              <w:lastRenderedPageBreak/>
              <w:t xml:space="preserve">Spis treści </w:t>
            </w:r>
          </w:p>
        </w:tc>
        <w:tc>
          <w:tcPr>
            <w:tcW w:w="1591" w:type="dxa"/>
          </w:tcPr>
          <w:p w:rsidR="00A65491" w:rsidRPr="0019165D" w:rsidRDefault="0019165D" w:rsidP="00A65491">
            <w:pPr>
              <w:rPr>
                <w:rFonts w:ascii="Arial" w:hAnsi="Arial" w:cs="Arial"/>
                <w:b/>
                <w:sz w:val="24"/>
                <w:szCs w:val="24"/>
              </w:rPr>
            </w:pPr>
            <w:r w:rsidRPr="0019165D">
              <w:rPr>
                <w:rFonts w:ascii="Arial" w:hAnsi="Arial" w:cs="Arial"/>
                <w:b/>
                <w:sz w:val="24"/>
                <w:szCs w:val="24"/>
              </w:rPr>
              <w:t xml:space="preserve">Strona </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Przedmiot przetargu</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3</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Opis nieruchomości</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3</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 xml:space="preserve">Cena nieruchomości </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4</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 xml:space="preserve">Wymagania dotyczące wadium </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5</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 xml:space="preserve">Forma udostępniania nieruchomości </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5</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 xml:space="preserve">Warunki dopuszczenia i udziału w przetargu </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6</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Kryteria oceny ofert</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7</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 xml:space="preserve">Szczegółowy tryb prowadzenia postępowania przetargowego </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7</w:t>
            </w:r>
          </w:p>
        </w:tc>
      </w:tr>
      <w:tr w:rsidR="00A65491" w:rsidTr="00A65491">
        <w:tc>
          <w:tcPr>
            <w:tcW w:w="7621" w:type="dxa"/>
          </w:tcPr>
          <w:p w:rsidR="00A65491" w:rsidRPr="00A65491" w:rsidRDefault="00A65491" w:rsidP="00A65491">
            <w:pPr>
              <w:pStyle w:val="Akapitzlist"/>
              <w:numPr>
                <w:ilvl w:val="0"/>
                <w:numId w:val="1"/>
              </w:numPr>
              <w:rPr>
                <w:rFonts w:ascii="Arial" w:hAnsi="Arial" w:cs="Arial"/>
                <w:sz w:val="24"/>
                <w:szCs w:val="24"/>
              </w:rPr>
            </w:pPr>
            <w:r>
              <w:rPr>
                <w:rFonts w:ascii="Arial" w:hAnsi="Arial" w:cs="Arial"/>
                <w:sz w:val="24"/>
                <w:szCs w:val="24"/>
              </w:rPr>
              <w:t xml:space="preserve">Odstąpienia od przetargu </w:t>
            </w:r>
          </w:p>
        </w:tc>
        <w:tc>
          <w:tcPr>
            <w:tcW w:w="1591" w:type="dxa"/>
          </w:tcPr>
          <w:p w:rsidR="00A65491" w:rsidRDefault="00995970" w:rsidP="00995970">
            <w:pPr>
              <w:jc w:val="center"/>
              <w:rPr>
                <w:rFonts w:ascii="Arial" w:hAnsi="Arial" w:cs="Arial"/>
                <w:sz w:val="24"/>
                <w:szCs w:val="24"/>
              </w:rPr>
            </w:pPr>
            <w:r>
              <w:rPr>
                <w:rFonts w:ascii="Arial" w:hAnsi="Arial" w:cs="Arial"/>
                <w:sz w:val="24"/>
                <w:szCs w:val="24"/>
              </w:rPr>
              <w:t>8</w:t>
            </w:r>
          </w:p>
        </w:tc>
      </w:tr>
    </w:tbl>
    <w:p w:rsidR="00FF7319" w:rsidRDefault="00FF7319" w:rsidP="00A65491">
      <w:pPr>
        <w:spacing w:after="0"/>
        <w:rPr>
          <w:rFonts w:ascii="Arial" w:hAnsi="Arial" w:cs="Arial"/>
          <w:sz w:val="24"/>
          <w:szCs w:val="24"/>
        </w:rPr>
      </w:pPr>
    </w:p>
    <w:p w:rsidR="00A65491" w:rsidRDefault="00A65491" w:rsidP="00A65491">
      <w:pPr>
        <w:spacing w:after="0"/>
        <w:rPr>
          <w:rFonts w:ascii="Arial" w:hAnsi="Arial" w:cs="Arial"/>
          <w:sz w:val="24"/>
          <w:szCs w:val="24"/>
        </w:rPr>
      </w:pPr>
    </w:p>
    <w:p w:rsidR="00A65491" w:rsidRDefault="00A65491" w:rsidP="00A65491">
      <w:pPr>
        <w:spacing w:after="0"/>
        <w:rPr>
          <w:rFonts w:ascii="Arial" w:hAnsi="Arial" w:cs="Arial"/>
          <w:sz w:val="24"/>
          <w:szCs w:val="24"/>
        </w:rPr>
      </w:pPr>
    </w:p>
    <w:p w:rsidR="00A65491" w:rsidRDefault="00A65491" w:rsidP="00A65491">
      <w:pPr>
        <w:spacing w:after="0"/>
        <w:rPr>
          <w:rFonts w:ascii="Arial" w:hAnsi="Arial" w:cs="Arial"/>
          <w:sz w:val="24"/>
          <w:szCs w:val="24"/>
        </w:rPr>
      </w:pPr>
    </w:p>
    <w:p w:rsidR="00A65491" w:rsidRDefault="00A65491" w:rsidP="00A65491">
      <w:pPr>
        <w:spacing w:after="0"/>
        <w:rPr>
          <w:rFonts w:ascii="Arial" w:hAnsi="Arial" w:cs="Arial"/>
          <w:sz w:val="24"/>
          <w:szCs w:val="24"/>
        </w:rPr>
      </w:pPr>
    </w:p>
    <w:p w:rsidR="00A65491" w:rsidRDefault="00A65491"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A65491" w:rsidRDefault="00A65491" w:rsidP="00A65491">
      <w:pPr>
        <w:spacing w:after="0"/>
        <w:rPr>
          <w:rFonts w:ascii="Arial" w:hAnsi="Arial" w:cs="Arial"/>
          <w:sz w:val="24"/>
          <w:szCs w:val="24"/>
        </w:rPr>
      </w:pPr>
    </w:p>
    <w:p w:rsidR="00A65491" w:rsidRPr="0019165D" w:rsidRDefault="00A65491" w:rsidP="00A65491">
      <w:pPr>
        <w:spacing w:after="0"/>
        <w:rPr>
          <w:rFonts w:ascii="Arial" w:hAnsi="Arial" w:cs="Arial"/>
          <w:sz w:val="24"/>
          <w:szCs w:val="24"/>
          <w:u w:val="single"/>
        </w:rPr>
      </w:pPr>
      <w:r w:rsidRPr="0019165D">
        <w:rPr>
          <w:rFonts w:ascii="Arial" w:hAnsi="Arial" w:cs="Arial"/>
          <w:sz w:val="24"/>
          <w:szCs w:val="24"/>
          <w:u w:val="single"/>
        </w:rPr>
        <w:t>Załączniki:</w:t>
      </w:r>
    </w:p>
    <w:p w:rsidR="00A65491" w:rsidRDefault="00A65491" w:rsidP="00A65491">
      <w:pPr>
        <w:pStyle w:val="Akapitzlist"/>
        <w:numPr>
          <w:ilvl w:val="0"/>
          <w:numId w:val="2"/>
        </w:numPr>
        <w:spacing w:after="0"/>
        <w:rPr>
          <w:rFonts w:ascii="Arial" w:hAnsi="Arial" w:cs="Arial"/>
          <w:sz w:val="24"/>
          <w:szCs w:val="24"/>
        </w:rPr>
      </w:pPr>
      <w:r>
        <w:rPr>
          <w:rFonts w:ascii="Arial" w:hAnsi="Arial" w:cs="Arial"/>
          <w:sz w:val="24"/>
          <w:szCs w:val="24"/>
        </w:rPr>
        <w:t>Wzór oferty</w:t>
      </w:r>
    </w:p>
    <w:p w:rsidR="00A65491" w:rsidRDefault="00A65491" w:rsidP="00A65491">
      <w:pPr>
        <w:pStyle w:val="Akapitzlist"/>
        <w:numPr>
          <w:ilvl w:val="0"/>
          <w:numId w:val="2"/>
        </w:numPr>
        <w:spacing w:after="0"/>
        <w:rPr>
          <w:rFonts w:ascii="Arial" w:hAnsi="Arial" w:cs="Arial"/>
          <w:sz w:val="24"/>
          <w:szCs w:val="24"/>
        </w:rPr>
      </w:pPr>
      <w:r>
        <w:rPr>
          <w:rFonts w:ascii="Arial" w:hAnsi="Arial" w:cs="Arial"/>
          <w:sz w:val="24"/>
          <w:szCs w:val="24"/>
        </w:rPr>
        <w:t xml:space="preserve">Wzór oświadczenia oferenta </w:t>
      </w:r>
    </w:p>
    <w:p w:rsidR="0019165D" w:rsidRDefault="0019165D" w:rsidP="00A65491">
      <w:pPr>
        <w:pStyle w:val="Akapitzlist"/>
        <w:numPr>
          <w:ilvl w:val="0"/>
          <w:numId w:val="2"/>
        </w:numPr>
        <w:spacing w:after="0"/>
        <w:rPr>
          <w:rFonts w:ascii="Arial" w:hAnsi="Arial" w:cs="Arial"/>
          <w:sz w:val="24"/>
          <w:szCs w:val="24"/>
        </w:rPr>
      </w:pPr>
      <w:r>
        <w:rPr>
          <w:rFonts w:ascii="Arial" w:hAnsi="Arial" w:cs="Arial"/>
          <w:sz w:val="24"/>
          <w:szCs w:val="24"/>
        </w:rPr>
        <w:t xml:space="preserve">Mapa z oznaczeniem przedmiotu przetargu </w:t>
      </w:r>
    </w:p>
    <w:p w:rsidR="0019165D" w:rsidRDefault="00F300F2" w:rsidP="00A65491">
      <w:pPr>
        <w:pStyle w:val="Akapitzlist"/>
        <w:numPr>
          <w:ilvl w:val="0"/>
          <w:numId w:val="2"/>
        </w:numPr>
        <w:spacing w:after="0"/>
        <w:rPr>
          <w:rFonts w:ascii="Arial" w:hAnsi="Arial" w:cs="Arial"/>
          <w:sz w:val="24"/>
          <w:szCs w:val="24"/>
        </w:rPr>
      </w:pPr>
      <w:r>
        <w:rPr>
          <w:rFonts w:ascii="Arial" w:hAnsi="Arial" w:cs="Arial"/>
          <w:sz w:val="24"/>
          <w:szCs w:val="24"/>
        </w:rPr>
        <w:t>Odpisy</w:t>
      </w:r>
      <w:r w:rsidR="00D106DD">
        <w:rPr>
          <w:rFonts w:ascii="Arial" w:hAnsi="Arial" w:cs="Arial"/>
          <w:sz w:val="24"/>
          <w:szCs w:val="24"/>
        </w:rPr>
        <w:t xml:space="preserve"> z k</w:t>
      </w:r>
      <w:r w:rsidR="0019165D">
        <w:rPr>
          <w:rFonts w:ascii="Arial" w:hAnsi="Arial" w:cs="Arial"/>
          <w:sz w:val="24"/>
          <w:szCs w:val="24"/>
        </w:rPr>
        <w:t>sięgi wieczyste</w:t>
      </w:r>
      <w:r w:rsidR="00D106DD">
        <w:rPr>
          <w:rFonts w:ascii="Arial" w:hAnsi="Arial" w:cs="Arial"/>
          <w:sz w:val="24"/>
          <w:szCs w:val="24"/>
        </w:rPr>
        <w:t>j</w:t>
      </w:r>
      <w:r w:rsidR="0019165D">
        <w:rPr>
          <w:rFonts w:ascii="Arial" w:hAnsi="Arial" w:cs="Arial"/>
          <w:sz w:val="24"/>
          <w:szCs w:val="24"/>
        </w:rPr>
        <w:t xml:space="preserve"> o numerach: </w:t>
      </w:r>
      <w:r w:rsidR="0019165D" w:rsidRPr="0019165D">
        <w:rPr>
          <w:rFonts w:ascii="Arial" w:hAnsi="Arial" w:cs="Arial"/>
          <w:sz w:val="24"/>
          <w:szCs w:val="24"/>
        </w:rPr>
        <w:t>SL1S/00095266/3</w:t>
      </w:r>
      <w:r w:rsidR="0019165D">
        <w:rPr>
          <w:rFonts w:ascii="Arial" w:hAnsi="Arial" w:cs="Arial"/>
          <w:sz w:val="24"/>
          <w:szCs w:val="24"/>
        </w:rPr>
        <w:t xml:space="preserve">, </w:t>
      </w:r>
      <w:r w:rsidR="0019165D" w:rsidRPr="0019165D">
        <w:rPr>
          <w:rFonts w:ascii="Arial" w:hAnsi="Arial" w:cs="Arial"/>
          <w:sz w:val="24"/>
          <w:szCs w:val="24"/>
        </w:rPr>
        <w:t>SL1S/00103038/6,</w:t>
      </w:r>
      <w:r w:rsidR="0019165D">
        <w:rPr>
          <w:rFonts w:ascii="Arial" w:hAnsi="Arial"/>
          <w:b/>
          <w:color w:val="000080"/>
          <w:sz w:val="24"/>
          <w:szCs w:val="24"/>
        </w:rPr>
        <w:t xml:space="preserve"> </w:t>
      </w:r>
      <w:r w:rsidR="0019165D" w:rsidRPr="0019165D">
        <w:rPr>
          <w:rFonts w:ascii="Arial" w:hAnsi="Arial" w:cs="Arial"/>
          <w:sz w:val="24"/>
          <w:szCs w:val="24"/>
        </w:rPr>
        <w:t>SL1S/00090111/7</w:t>
      </w:r>
      <w:r w:rsidR="0019165D">
        <w:rPr>
          <w:rFonts w:ascii="Arial" w:hAnsi="Arial" w:cs="Arial"/>
          <w:sz w:val="24"/>
          <w:szCs w:val="24"/>
        </w:rPr>
        <w:t xml:space="preserve">, </w:t>
      </w:r>
      <w:r w:rsidR="0019165D" w:rsidRPr="0019165D">
        <w:rPr>
          <w:rFonts w:ascii="Arial" w:hAnsi="Arial" w:cs="Arial"/>
          <w:sz w:val="24"/>
          <w:szCs w:val="24"/>
        </w:rPr>
        <w:t>SL1S/00108652/1</w:t>
      </w:r>
    </w:p>
    <w:p w:rsidR="0019165D" w:rsidRPr="00A65491" w:rsidRDefault="0019165D" w:rsidP="0019165D">
      <w:pPr>
        <w:pStyle w:val="Akapitzlist"/>
        <w:spacing w:after="0"/>
        <w:rPr>
          <w:rFonts w:ascii="Arial" w:hAnsi="Arial" w:cs="Arial"/>
          <w:sz w:val="24"/>
          <w:szCs w:val="24"/>
        </w:rPr>
      </w:pPr>
    </w:p>
    <w:p w:rsidR="00A65491" w:rsidRDefault="00A65491"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Default="0019165D" w:rsidP="00A65491">
      <w:pPr>
        <w:spacing w:after="0"/>
        <w:rPr>
          <w:rFonts w:ascii="Arial" w:hAnsi="Arial" w:cs="Arial"/>
          <w:sz w:val="24"/>
          <w:szCs w:val="24"/>
        </w:rPr>
      </w:pPr>
    </w:p>
    <w:p w:rsidR="0019165D" w:rsidRPr="0094560A" w:rsidRDefault="00BB0D60" w:rsidP="00BB0D60">
      <w:pPr>
        <w:pStyle w:val="Akapitzlist"/>
        <w:numPr>
          <w:ilvl w:val="0"/>
          <w:numId w:val="3"/>
        </w:numPr>
        <w:spacing w:after="0"/>
        <w:rPr>
          <w:rFonts w:ascii="Arial" w:hAnsi="Arial" w:cs="Arial"/>
          <w:b/>
          <w:sz w:val="24"/>
          <w:szCs w:val="24"/>
        </w:rPr>
      </w:pPr>
      <w:r w:rsidRPr="0094560A">
        <w:rPr>
          <w:rFonts w:ascii="Arial" w:hAnsi="Arial" w:cs="Arial"/>
          <w:b/>
          <w:sz w:val="24"/>
          <w:szCs w:val="24"/>
        </w:rPr>
        <w:lastRenderedPageBreak/>
        <w:t>Przedmiot przetargu</w:t>
      </w:r>
    </w:p>
    <w:p w:rsidR="00BB0D60" w:rsidRDefault="00BB0D60" w:rsidP="00BB0D60">
      <w:pPr>
        <w:spacing w:after="0"/>
        <w:rPr>
          <w:rFonts w:ascii="Arial" w:hAnsi="Arial" w:cs="Arial"/>
          <w:sz w:val="24"/>
          <w:szCs w:val="24"/>
        </w:rPr>
      </w:pPr>
    </w:p>
    <w:p w:rsidR="0094560A" w:rsidRPr="0094560A" w:rsidRDefault="00BB0D60" w:rsidP="0094560A">
      <w:pPr>
        <w:pStyle w:val="Tekstpodstawowy2"/>
        <w:rPr>
          <w:rFonts w:cs="Arial"/>
          <w:szCs w:val="24"/>
          <w:lang w:val="pl-PL"/>
        </w:rPr>
      </w:pPr>
      <w:r>
        <w:rPr>
          <w:rFonts w:cs="Arial"/>
          <w:szCs w:val="24"/>
        </w:rPr>
        <w:t xml:space="preserve">Przedmiotem przetargów jest sprzedaż niezabudowanych nieruchomości gruntowych, położonych w na terenie Gminy Słupsk w miejscowości Redzikowo w Podstrefie „Redzikowo” Słupskiej Specjalnej Strefie Ekonomicznej, w obrębie ewidencyjnym Redzikowo, </w:t>
      </w:r>
      <w:r w:rsidR="0094560A">
        <w:rPr>
          <w:rFonts w:cs="Arial"/>
          <w:szCs w:val="24"/>
        </w:rPr>
        <w:t>oznaczonych jako działki gruntu o numerach: 7/12</w:t>
      </w:r>
      <w:r w:rsidR="00D106DD">
        <w:rPr>
          <w:rFonts w:cs="Arial"/>
          <w:szCs w:val="24"/>
        </w:rPr>
        <w:t>,</w:t>
      </w:r>
      <w:r w:rsidR="00D106DD">
        <w:rPr>
          <w:rFonts w:cs="Arial"/>
          <w:szCs w:val="24"/>
          <w:lang w:val="pl-PL"/>
        </w:rPr>
        <w:t xml:space="preserve"> </w:t>
      </w:r>
      <w:r w:rsidR="00D106DD">
        <w:rPr>
          <w:rFonts w:cs="Arial"/>
          <w:szCs w:val="24"/>
        </w:rPr>
        <w:t>7/14, 7/15, 7/52</w:t>
      </w:r>
      <w:r w:rsidR="00D106DD">
        <w:rPr>
          <w:rFonts w:cs="Arial"/>
          <w:szCs w:val="24"/>
          <w:lang w:val="pl-PL"/>
        </w:rPr>
        <w:t xml:space="preserve">, </w:t>
      </w:r>
      <w:r w:rsidR="00D106DD">
        <w:rPr>
          <w:rFonts w:cs="Arial"/>
          <w:szCs w:val="24"/>
        </w:rPr>
        <w:t>7/83</w:t>
      </w:r>
      <w:r w:rsidR="00D106DD">
        <w:rPr>
          <w:rFonts w:cs="Arial"/>
          <w:szCs w:val="24"/>
          <w:lang w:val="pl-PL"/>
        </w:rPr>
        <w:t xml:space="preserve"> oraz</w:t>
      </w:r>
      <w:r w:rsidR="0094560A">
        <w:rPr>
          <w:rFonts w:cs="Arial"/>
          <w:szCs w:val="24"/>
        </w:rPr>
        <w:t xml:space="preserve"> </w:t>
      </w:r>
      <w:r w:rsidR="00D106DD">
        <w:rPr>
          <w:rFonts w:cs="Arial"/>
          <w:szCs w:val="24"/>
          <w:lang w:val="pl-PL"/>
        </w:rPr>
        <w:t xml:space="preserve">działki nr 7/72 i nr 7/79 (stanowiące w ofercie jedną nieruchomość), </w:t>
      </w:r>
      <w:r w:rsidR="0094560A">
        <w:rPr>
          <w:rFonts w:cs="Arial"/>
          <w:szCs w:val="24"/>
          <w:lang w:val="pl-PL"/>
        </w:rPr>
        <w:t xml:space="preserve">dla których </w:t>
      </w:r>
      <w:r w:rsidR="0094560A" w:rsidRPr="0094560A">
        <w:rPr>
          <w:rFonts w:cs="Arial"/>
          <w:szCs w:val="24"/>
        </w:rPr>
        <w:t>VII Wydział Ksiąg Wieczystych w Sądzie Rejonowym w Słupsku</w:t>
      </w:r>
      <w:r w:rsidR="0094560A">
        <w:rPr>
          <w:color w:val="000080"/>
          <w:sz w:val="20"/>
          <w:lang w:val="pl-PL"/>
        </w:rPr>
        <w:t xml:space="preserve"> </w:t>
      </w:r>
      <w:r w:rsidR="0094560A" w:rsidRPr="0094560A">
        <w:rPr>
          <w:rFonts w:cs="Arial"/>
          <w:szCs w:val="24"/>
          <w:lang w:val="pl-PL"/>
        </w:rPr>
        <w:t xml:space="preserve">prowadzi </w:t>
      </w:r>
      <w:r w:rsidR="0094560A">
        <w:rPr>
          <w:rFonts w:cs="Arial"/>
          <w:szCs w:val="24"/>
          <w:lang w:val="pl-PL"/>
        </w:rPr>
        <w:t>księ</w:t>
      </w:r>
      <w:r w:rsidR="0094560A" w:rsidRPr="0094560A">
        <w:rPr>
          <w:rFonts w:cs="Arial"/>
          <w:szCs w:val="24"/>
          <w:lang w:val="pl-PL"/>
        </w:rPr>
        <w:t>gi wieczyste</w:t>
      </w:r>
      <w:r w:rsidR="0094560A">
        <w:rPr>
          <w:rFonts w:cs="Arial"/>
          <w:szCs w:val="24"/>
          <w:lang w:val="pl-PL"/>
        </w:rPr>
        <w:t xml:space="preserve">. </w:t>
      </w:r>
    </w:p>
    <w:p w:rsidR="00BB0D60" w:rsidRPr="0094560A" w:rsidRDefault="00BB0D60" w:rsidP="00BB0D60">
      <w:pPr>
        <w:spacing w:after="0"/>
        <w:rPr>
          <w:rFonts w:ascii="Arial" w:eastAsia="Times New Roman" w:hAnsi="Arial" w:cs="Arial"/>
          <w:sz w:val="24"/>
          <w:szCs w:val="24"/>
          <w:lang w:eastAsia="x-none"/>
        </w:rPr>
      </w:pPr>
    </w:p>
    <w:p w:rsidR="0019165D" w:rsidRDefault="00F300F2" w:rsidP="001573CC">
      <w:pPr>
        <w:spacing w:after="0"/>
        <w:jc w:val="both"/>
        <w:rPr>
          <w:rFonts w:ascii="Arial" w:hAnsi="Arial" w:cs="Arial"/>
          <w:sz w:val="24"/>
          <w:szCs w:val="24"/>
        </w:rPr>
      </w:pPr>
      <w:r>
        <w:rPr>
          <w:rFonts w:ascii="Arial" w:hAnsi="Arial" w:cs="Arial"/>
          <w:sz w:val="24"/>
          <w:szCs w:val="24"/>
        </w:rPr>
        <w:t>Odpisy</w:t>
      </w:r>
      <w:r w:rsidR="00D106DD">
        <w:rPr>
          <w:rFonts w:ascii="Arial" w:hAnsi="Arial" w:cs="Arial"/>
          <w:sz w:val="24"/>
          <w:szCs w:val="24"/>
        </w:rPr>
        <w:t xml:space="preserve"> z ksiąg wieczystych</w:t>
      </w:r>
      <w:r w:rsidR="0094560A">
        <w:rPr>
          <w:rFonts w:ascii="Arial" w:hAnsi="Arial" w:cs="Arial"/>
          <w:sz w:val="24"/>
          <w:szCs w:val="24"/>
        </w:rPr>
        <w:t xml:space="preserve"> pobrane ze strony Ministerstwa Sprawiedliwości stanowią załącznik nr 4 do niniejszej Specyfikacji. </w:t>
      </w:r>
    </w:p>
    <w:p w:rsidR="0094560A" w:rsidRDefault="0094560A" w:rsidP="001573CC">
      <w:pPr>
        <w:spacing w:after="0"/>
        <w:jc w:val="both"/>
        <w:rPr>
          <w:rFonts w:ascii="Arial" w:hAnsi="Arial" w:cs="Arial"/>
          <w:sz w:val="24"/>
          <w:szCs w:val="24"/>
        </w:rPr>
      </w:pPr>
    </w:p>
    <w:p w:rsidR="0094560A" w:rsidRDefault="0094560A" w:rsidP="001573CC">
      <w:pPr>
        <w:spacing w:after="0"/>
        <w:jc w:val="both"/>
        <w:rPr>
          <w:rFonts w:ascii="Arial" w:hAnsi="Arial" w:cs="Arial"/>
          <w:sz w:val="24"/>
          <w:szCs w:val="24"/>
        </w:rPr>
      </w:pPr>
      <w:r>
        <w:rPr>
          <w:rFonts w:ascii="Arial" w:hAnsi="Arial" w:cs="Arial"/>
          <w:sz w:val="24"/>
          <w:szCs w:val="24"/>
        </w:rPr>
        <w:t xml:space="preserve">Nieruchomości stanowią własność Pomorskiej Agencji Rozwoju Regionalnego S.A. </w:t>
      </w:r>
      <w:r w:rsidR="00A96E7C">
        <w:rPr>
          <w:rFonts w:ascii="Arial" w:hAnsi="Arial" w:cs="Arial"/>
          <w:sz w:val="24"/>
          <w:szCs w:val="24"/>
        </w:rPr>
        <w:br/>
      </w:r>
      <w:r>
        <w:rPr>
          <w:rFonts w:ascii="Arial" w:hAnsi="Arial" w:cs="Arial"/>
          <w:sz w:val="24"/>
          <w:szCs w:val="24"/>
        </w:rPr>
        <w:t xml:space="preserve">i są położone na terenie Słupskiej Specjalnej Strefy Ekonomicznej – Podstrefa „Redzikowo” – zgodnie z rozporządzeniem Rady Ministrów </w:t>
      </w:r>
      <w:r w:rsidR="00B35A24">
        <w:rPr>
          <w:rFonts w:ascii="Arial" w:hAnsi="Arial" w:cs="Arial"/>
          <w:sz w:val="24"/>
          <w:szCs w:val="24"/>
        </w:rPr>
        <w:t xml:space="preserve"> </w:t>
      </w:r>
      <w:r>
        <w:rPr>
          <w:rFonts w:ascii="Arial" w:hAnsi="Arial" w:cs="Arial"/>
          <w:sz w:val="24"/>
          <w:szCs w:val="24"/>
        </w:rPr>
        <w:t xml:space="preserve">w </w:t>
      </w:r>
      <w:r w:rsidR="00B35A24">
        <w:rPr>
          <w:rFonts w:ascii="Arial" w:hAnsi="Arial" w:cs="Arial"/>
          <w:sz w:val="24"/>
          <w:szCs w:val="24"/>
        </w:rPr>
        <w:t xml:space="preserve">sprawie słupskiej specjalnej strefy ekonomicznej (tekst jednolity: Dz. U. z 2016r., poz. 712). </w:t>
      </w:r>
    </w:p>
    <w:p w:rsidR="00B35A24" w:rsidRDefault="00B35A24" w:rsidP="00A65491">
      <w:pPr>
        <w:spacing w:after="0"/>
        <w:rPr>
          <w:rFonts w:ascii="Arial" w:hAnsi="Arial" w:cs="Arial"/>
          <w:sz w:val="24"/>
          <w:szCs w:val="24"/>
        </w:rPr>
      </w:pPr>
    </w:p>
    <w:p w:rsidR="00B35A24" w:rsidRDefault="00B35A24" w:rsidP="00B35A24">
      <w:pPr>
        <w:pStyle w:val="Akapitzlist"/>
        <w:numPr>
          <w:ilvl w:val="0"/>
          <w:numId w:val="3"/>
        </w:numPr>
        <w:spacing w:after="0"/>
        <w:rPr>
          <w:rFonts w:ascii="Arial" w:hAnsi="Arial" w:cs="Arial"/>
          <w:b/>
          <w:sz w:val="24"/>
          <w:szCs w:val="24"/>
        </w:rPr>
      </w:pPr>
      <w:r w:rsidRPr="00B35A24">
        <w:rPr>
          <w:rFonts w:ascii="Arial" w:hAnsi="Arial" w:cs="Arial"/>
          <w:b/>
          <w:sz w:val="24"/>
          <w:szCs w:val="24"/>
        </w:rPr>
        <w:t xml:space="preserve">Opis nieruchomości </w:t>
      </w:r>
    </w:p>
    <w:p w:rsidR="00B35A24" w:rsidRDefault="00B35A24" w:rsidP="00B35A24">
      <w:pPr>
        <w:spacing w:after="0"/>
        <w:rPr>
          <w:rFonts w:ascii="Arial" w:hAnsi="Arial" w:cs="Arial"/>
          <w:b/>
          <w:sz w:val="24"/>
          <w:szCs w:val="24"/>
        </w:rPr>
      </w:pPr>
    </w:p>
    <w:p w:rsidR="001573CC" w:rsidRDefault="001573CC" w:rsidP="005C4CD8">
      <w:pPr>
        <w:spacing w:after="0"/>
        <w:jc w:val="both"/>
        <w:rPr>
          <w:rFonts w:ascii="Arial" w:hAnsi="Arial" w:cs="Arial"/>
          <w:sz w:val="24"/>
          <w:szCs w:val="24"/>
        </w:rPr>
      </w:pPr>
      <w:r w:rsidRPr="001573CC">
        <w:rPr>
          <w:rFonts w:ascii="Arial" w:hAnsi="Arial" w:cs="Arial"/>
          <w:sz w:val="24"/>
          <w:szCs w:val="24"/>
        </w:rPr>
        <w:t>N</w:t>
      </w:r>
      <w:r>
        <w:rPr>
          <w:rFonts w:ascii="Arial" w:hAnsi="Arial" w:cs="Arial"/>
          <w:sz w:val="24"/>
          <w:szCs w:val="24"/>
        </w:rPr>
        <w:t>ieruchomości</w:t>
      </w:r>
      <w:r w:rsidRPr="001573CC">
        <w:rPr>
          <w:rFonts w:ascii="Arial" w:hAnsi="Arial" w:cs="Arial"/>
          <w:sz w:val="24"/>
          <w:szCs w:val="24"/>
        </w:rPr>
        <w:t xml:space="preserve"> </w:t>
      </w:r>
      <w:r>
        <w:rPr>
          <w:rFonts w:ascii="Arial" w:hAnsi="Arial" w:cs="Arial"/>
          <w:sz w:val="24"/>
          <w:szCs w:val="24"/>
        </w:rPr>
        <w:t xml:space="preserve">będące przedmiotem przetargu są niezabudowane i nieogrodzone. </w:t>
      </w:r>
    </w:p>
    <w:p w:rsidR="001573CC" w:rsidRPr="001573CC" w:rsidRDefault="001573CC" w:rsidP="005C4CD8">
      <w:pPr>
        <w:pStyle w:val="Tekstpodstawowy2"/>
        <w:rPr>
          <w:rFonts w:eastAsiaTheme="minorHAnsi" w:cs="Arial"/>
          <w:szCs w:val="24"/>
          <w:lang w:val="pl-PL" w:eastAsia="en-US"/>
        </w:rPr>
      </w:pPr>
      <w:r w:rsidRPr="001573CC">
        <w:rPr>
          <w:rFonts w:eastAsiaTheme="minorHAnsi" w:cs="Arial"/>
          <w:szCs w:val="24"/>
          <w:lang w:val="pl-PL" w:eastAsia="en-US"/>
        </w:rPr>
        <w:t>Nieruchomości zlokalizowane są na obszarze objętym miejscowym planem zagospodarowania przestrzennego pn. „Redzikowo- Wieszyno” i znajdują się na terenie obiektów produkcyjnych, składów i magazynów oraz zabudowy usługowej - Uchwała Rady Gminy Słupsk nr XVI/151/2012 z dnia 12 kwietnia 2012 r.</w:t>
      </w:r>
    </w:p>
    <w:p w:rsidR="001573CC" w:rsidRPr="001573CC" w:rsidRDefault="001573CC" w:rsidP="005C4CD8">
      <w:pPr>
        <w:pStyle w:val="Tekstpodstawowy2"/>
        <w:rPr>
          <w:rFonts w:eastAsiaTheme="minorHAnsi" w:cs="Arial"/>
          <w:szCs w:val="24"/>
          <w:lang w:val="pl-PL" w:eastAsia="en-US"/>
        </w:rPr>
      </w:pPr>
      <w:r w:rsidRPr="001573CC">
        <w:rPr>
          <w:rFonts w:eastAsiaTheme="minorHAnsi" w:cs="Arial"/>
          <w:szCs w:val="24"/>
          <w:lang w:val="pl-PL" w:eastAsia="en-US"/>
        </w:rPr>
        <w:t xml:space="preserve">Działka nr 7/79, która została wystawiona do sprzedaży łącznie z działką 7/72, położona jest na terenie oznaczonym jako teren drogi wewnętrznej. </w:t>
      </w:r>
    </w:p>
    <w:p w:rsidR="00B35A24" w:rsidRDefault="001573CC" w:rsidP="005C4CD8">
      <w:pPr>
        <w:spacing w:after="0"/>
        <w:jc w:val="both"/>
        <w:rPr>
          <w:rFonts w:ascii="Arial" w:hAnsi="Arial" w:cs="Arial"/>
          <w:sz w:val="24"/>
          <w:szCs w:val="24"/>
        </w:rPr>
      </w:pPr>
      <w:r>
        <w:rPr>
          <w:rFonts w:ascii="Arial" w:hAnsi="Arial" w:cs="Arial"/>
          <w:sz w:val="24"/>
          <w:szCs w:val="24"/>
        </w:rPr>
        <w:t>Przed uzyskaniem decyzji o pozwoleniu na budowę</w:t>
      </w:r>
      <w:r w:rsidR="00F300F2">
        <w:rPr>
          <w:rFonts w:ascii="Arial" w:hAnsi="Arial" w:cs="Arial"/>
          <w:sz w:val="24"/>
          <w:szCs w:val="24"/>
        </w:rPr>
        <w:t>, niezbędne jest uzyskanie pozytywnej opinii Ministerstwa Obrony Narodowej</w:t>
      </w:r>
      <w:r>
        <w:rPr>
          <w:rFonts w:ascii="Arial" w:hAnsi="Arial" w:cs="Arial"/>
          <w:sz w:val="24"/>
          <w:szCs w:val="24"/>
        </w:rPr>
        <w:t xml:space="preserve"> na realizację inwestycji, w związku z sąsiedztwem tarczy antyrakietowej w Redzikowie. </w:t>
      </w:r>
      <w:r w:rsidR="005C4CD8">
        <w:rPr>
          <w:rFonts w:ascii="Arial" w:hAnsi="Arial" w:cs="Arial"/>
          <w:sz w:val="24"/>
          <w:szCs w:val="24"/>
        </w:rPr>
        <w:t xml:space="preserve">PARR S.A. świadczy bezpłatne usługi w opracowaniu wniosku do MON. </w:t>
      </w:r>
    </w:p>
    <w:p w:rsidR="005C4CD8" w:rsidRDefault="005C4CD8" w:rsidP="005C4CD8">
      <w:pPr>
        <w:spacing w:after="0"/>
        <w:jc w:val="both"/>
        <w:rPr>
          <w:rFonts w:ascii="Arial" w:hAnsi="Arial" w:cs="Arial"/>
          <w:sz w:val="24"/>
          <w:szCs w:val="24"/>
        </w:rPr>
      </w:pPr>
    </w:p>
    <w:p w:rsidR="006A0840" w:rsidRDefault="006A0840" w:rsidP="005C4CD8">
      <w:pPr>
        <w:spacing w:after="0"/>
        <w:jc w:val="both"/>
        <w:rPr>
          <w:rFonts w:ascii="Arial" w:hAnsi="Arial" w:cs="Arial"/>
          <w:sz w:val="24"/>
          <w:szCs w:val="24"/>
        </w:rPr>
      </w:pPr>
      <w:r>
        <w:rPr>
          <w:rFonts w:ascii="Arial" w:hAnsi="Arial" w:cs="Arial"/>
          <w:sz w:val="24"/>
          <w:szCs w:val="24"/>
        </w:rPr>
        <w:t>Nieruchomości posiadają dostęp do następującej infrastruktury technicznej:</w:t>
      </w:r>
    </w:p>
    <w:p w:rsidR="00EE51C7" w:rsidRDefault="006A0840" w:rsidP="006A0840">
      <w:pPr>
        <w:pStyle w:val="Akapitzlist"/>
        <w:numPr>
          <w:ilvl w:val="0"/>
          <w:numId w:val="4"/>
        </w:numPr>
        <w:spacing w:after="0"/>
        <w:jc w:val="both"/>
        <w:rPr>
          <w:rFonts w:ascii="Arial" w:hAnsi="Arial" w:cs="Arial"/>
          <w:sz w:val="24"/>
          <w:szCs w:val="24"/>
        </w:rPr>
      </w:pPr>
      <w:r>
        <w:rPr>
          <w:rFonts w:ascii="Arial" w:hAnsi="Arial" w:cs="Arial"/>
          <w:sz w:val="24"/>
          <w:szCs w:val="24"/>
        </w:rPr>
        <w:t xml:space="preserve">Sieć wodociągowa- </w:t>
      </w:r>
      <w:r w:rsidR="007E7C10">
        <w:rPr>
          <w:rFonts w:ascii="Arial" w:hAnsi="Arial" w:cs="Arial"/>
          <w:sz w:val="24"/>
          <w:szCs w:val="24"/>
        </w:rPr>
        <w:t>b</w:t>
      </w:r>
      <w:r w:rsidR="00EE51C7">
        <w:rPr>
          <w:rFonts w:ascii="Arial" w:hAnsi="Arial" w:cs="Arial"/>
          <w:sz w:val="24"/>
          <w:szCs w:val="24"/>
        </w:rPr>
        <w:t>udowa przyłącza wodociągowego- na koszt własny inwestora po uzyskaniu warunków technicznych przyłączenia do gminnej sieci wodociągowej od Zakładu Gospodarki Komunalnej w Jezierzycach Sp. z o.o., ul. Kolejowa 5, 76- 200 Słupsk,</w:t>
      </w:r>
      <w:r w:rsidR="00871AB7">
        <w:rPr>
          <w:rFonts w:ascii="Arial" w:hAnsi="Arial" w:cs="Arial"/>
          <w:sz w:val="24"/>
          <w:szCs w:val="24"/>
        </w:rPr>
        <w:t xml:space="preserve"> tel. 59 811 25 75,</w:t>
      </w:r>
    </w:p>
    <w:p w:rsidR="00063219" w:rsidRDefault="00EE51C7" w:rsidP="00063219">
      <w:pPr>
        <w:pStyle w:val="Akapitzlist"/>
        <w:numPr>
          <w:ilvl w:val="0"/>
          <w:numId w:val="4"/>
        </w:numPr>
        <w:spacing w:after="0"/>
        <w:jc w:val="both"/>
        <w:rPr>
          <w:rFonts w:ascii="Arial" w:hAnsi="Arial" w:cs="Arial"/>
          <w:sz w:val="24"/>
          <w:szCs w:val="24"/>
        </w:rPr>
      </w:pPr>
      <w:r>
        <w:rPr>
          <w:rFonts w:ascii="Arial" w:hAnsi="Arial" w:cs="Arial"/>
          <w:sz w:val="24"/>
          <w:szCs w:val="24"/>
        </w:rPr>
        <w:t>Ka</w:t>
      </w:r>
      <w:r w:rsidR="007E7C10">
        <w:rPr>
          <w:rFonts w:ascii="Arial" w:hAnsi="Arial" w:cs="Arial"/>
          <w:sz w:val="24"/>
          <w:szCs w:val="24"/>
        </w:rPr>
        <w:t>nalizacja deszczowa – b</w:t>
      </w:r>
      <w:r>
        <w:rPr>
          <w:rFonts w:ascii="Arial" w:hAnsi="Arial" w:cs="Arial"/>
          <w:sz w:val="24"/>
          <w:szCs w:val="24"/>
        </w:rPr>
        <w:t xml:space="preserve">udowa przyłącza kanalizacji deszczowej </w:t>
      </w:r>
      <w:r w:rsidR="00063219">
        <w:rPr>
          <w:rFonts w:ascii="Arial" w:hAnsi="Arial" w:cs="Arial"/>
          <w:sz w:val="24"/>
          <w:szCs w:val="24"/>
        </w:rPr>
        <w:t xml:space="preserve">– na koszt własny inwestora po uzyskaniu warunków technicznych przyłączenia do </w:t>
      </w:r>
      <w:r>
        <w:rPr>
          <w:rFonts w:ascii="Arial" w:hAnsi="Arial" w:cs="Arial"/>
          <w:sz w:val="24"/>
          <w:szCs w:val="24"/>
        </w:rPr>
        <w:t xml:space="preserve"> </w:t>
      </w:r>
      <w:r w:rsidR="00063219">
        <w:rPr>
          <w:rFonts w:ascii="Arial" w:hAnsi="Arial" w:cs="Arial"/>
          <w:sz w:val="24"/>
          <w:szCs w:val="24"/>
        </w:rPr>
        <w:t>gminnej sieci deszczowej od Zakładu Gospodarki Komunalnej w Jezierzycach Sp. z o.o., ul. Kolejowa 5, 76- 200 Słupsk,</w:t>
      </w:r>
      <w:r w:rsidR="00871AB7">
        <w:rPr>
          <w:rFonts w:ascii="Arial" w:hAnsi="Arial" w:cs="Arial"/>
          <w:sz w:val="24"/>
          <w:szCs w:val="24"/>
        </w:rPr>
        <w:t xml:space="preserve"> tel. 59 811 25 75,</w:t>
      </w:r>
    </w:p>
    <w:p w:rsidR="00063219" w:rsidRDefault="00063219" w:rsidP="00063219">
      <w:pPr>
        <w:pStyle w:val="Akapitzlist"/>
        <w:numPr>
          <w:ilvl w:val="0"/>
          <w:numId w:val="4"/>
        </w:numPr>
        <w:spacing w:after="0"/>
        <w:jc w:val="both"/>
        <w:rPr>
          <w:rFonts w:ascii="Arial" w:hAnsi="Arial" w:cs="Arial"/>
          <w:sz w:val="24"/>
          <w:szCs w:val="24"/>
        </w:rPr>
      </w:pPr>
      <w:r>
        <w:rPr>
          <w:rFonts w:ascii="Arial" w:hAnsi="Arial" w:cs="Arial"/>
          <w:sz w:val="24"/>
          <w:szCs w:val="24"/>
        </w:rPr>
        <w:t>Kanalizacja sanitarn</w:t>
      </w:r>
      <w:r w:rsidR="007E7C10">
        <w:rPr>
          <w:rFonts w:ascii="Arial" w:hAnsi="Arial" w:cs="Arial"/>
          <w:sz w:val="24"/>
          <w:szCs w:val="24"/>
        </w:rPr>
        <w:t>a - b</w:t>
      </w:r>
      <w:r>
        <w:rPr>
          <w:rFonts w:ascii="Arial" w:hAnsi="Arial" w:cs="Arial"/>
          <w:sz w:val="24"/>
          <w:szCs w:val="24"/>
        </w:rPr>
        <w:t>udowa przyłącza kanalizacji sanitarnej – na koszt własny inwestora po uzyskaniu warunków technicznych przyłączenia do  gminnej sieci deszczowej od Zakładu Gospodarki Komunalnej w Jezierzycach Sp. z o.o., ul. Kolejowa 5, 76- 200 Słupsk,</w:t>
      </w:r>
      <w:r w:rsidR="00871AB7">
        <w:rPr>
          <w:rFonts w:ascii="Arial" w:hAnsi="Arial" w:cs="Arial"/>
          <w:sz w:val="24"/>
          <w:szCs w:val="24"/>
        </w:rPr>
        <w:t xml:space="preserve"> tel. 59 811 25 75, </w:t>
      </w:r>
    </w:p>
    <w:p w:rsidR="00063219" w:rsidRDefault="00063219" w:rsidP="006A0840">
      <w:pPr>
        <w:pStyle w:val="Akapitzlist"/>
        <w:numPr>
          <w:ilvl w:val="0"/>
          <w:numId w:val="4"/>
        </w:numPr>
        <w:spacing w:after="0"/>
        <w:jc w:val="both"/>
        <w:rPr>
          <w:rFonts w:ascii="Arial" w:hAnsi="Arial" w:cs="Arial"/>
          <w:sz w:val="24"/>
          <w:szCs w:val="24"/>
        </w:rPr>
      </w:pPr>
      <w:r>
        <w:rPr>
          <w:rFonts w:ascii="Arial" w:hAnsi="Arial" w:cs="Arial"/>
          <w:sz w:val="24"/>
          <w:szCs w:val="24"/>
        </w:rPr>
        <w:t xml:space="preserve">Gazociąg średniego ciśnienia </w:t>
      </w:r>
      <w:r w:rsidR="00E33FD2">
        <w:rPr>
          <w:rFonts w:ascii="Arial" w:hAnsi="Arial" w:cs="Arial"/>
          <w:sz w:val="24"/>
          <w:szCs w:val="24"/>
        </w:rPr>
        <w:t>–</w:t>
      </w:r>
      <w:r w:rsidR="007E7C10">
        <w:rPr>
          <w:rFonts w:ascii="Arial" w:hAnsi="Arial" w:cs="Arial"/>
          <w:sz w:val="24"/>
          <w:szCs w:val="24"/>
        </w:rPr>
        <w:t xml:space="preserve"> b</w:t>
      </w:r>
      <w:r>
        <w:rPr>
          <w:rFonts w:ascii="Arial" w:hAnsi="Arial" w:cs="Arial"/>
          <w:sz w:val="24"/>
          <w:szCs w:val="24"/>
        </w:rPr>
        <w:t>udowa przyłącza gazowego na koszt własny inwestora po uzyskaniu warunków technicznych przyłączenia do sieci gazowej i zawarciu przez inwes</w:t>
      </w:r>
      <w:r w:rsidR="006C29F6">
        <w:rPr>
          <w:rFonts w:ascii="Arial" w:hAnsi="Arial" w:cs="Arial"/>
          <w:sz w:val="24"/>
          <w:szCs w:val="24"/>
        </w:rPr>
        <w:t>tora umowy przyłączeniowej z Polską Spółką</w:t>
      </w:r>
      <w:r w:rsidR="006C29F6" w:rsidRPr="006C29F6">
        <w:rPr>
          <w:rFonts w:ascii="Arial" w:hAnsi="Arial" w:cs="Arial"/>
          <w:sz w:val="24"/>
          <w:szCs w:val="24"/>
        </w:rPr>
        <w:t xml:space="preserve"> Gazownictwa Sp. z o.o., Oddział Zakład Gazowniczy w Koszalinie, Gazownia w Słupsku</w:t>
      </w:r>
      <w:r w:rsidR="006C29F6">
        <w:rPr>
          <w:rFonts w:ascii="Arial" w:hAnsi="Arial" w:cs="Arial"/>
          <w:sz w:val="24"/>
          <w:szCs w:val="24"/>
        </w:rPr>
        <w:t xml:space="preserve">, </w:t>
      </w:r>
      <w:r w:rsidR="00871AB7">
        <w:rPr>
          <w:rFonts w:ascii="Arial" w:hAnsi="Arial" w:cs="Arial"/>
          <w:sz w:val="24"/>
          <w:szCs w:val="24"/>
        </w:rPr>
        <w:t xml:space="preserve">ul. Moniuszki 1, 76- 200 Słupsk, tel. 94 348 41 30, </w:t>
      </w:r>
    </w:p>
    <w:p w:rsidR="006A0840" w:rsidRPr="006A0840" w:rsidRDefault="00063219" w:rsidP="006A0840">
      <w:pPr>
        <w:pStyle w:val="Akapitzlist"/>
        <w:numPr>
          <w:ilvl w:val="0"/>
          <w:numId w:val="4"/>
        </w:numPr>
        <w:spacing w:after="0"/>
        <w:jc w:val="both"/>
        <w:rPr>
          <w:rFonts w:ascii="Arial" w:hAnsi="Arial" w:cs="Arial"/>
          <w:sz w:val="24"/>
          <w:szCs w:val="24"/>
        </w:rPr>
      </w:pPr>
      <w:r>
        <w:rPr>
          <w:rFonts w:ascii="Arial" w:hAnsi="Arial" w:cs="Arial"/>
          <w:sz w:val="24"/>
          <w:szCs w:val="24"/>
        </w:rPr>
        <w:t>Energia elektryczna</w:t>
      </w:r>
      <w:r w:rsidR="007E7C10">
        <w:rPr>
          <w:rFonts w:ascii="Arial" w:hAnsi="Arial" w:cs="Arial"/>
          <w:sz w:val="24"/>
          <w:szCs w:val="24"/>
        </w:rPr>
        <w:t xml:space="preserve"> – </w:t>
      </w:r>
      <w:r w:rsidR="006C29F6">
        <w:rPr>
          <w:rFonts w:ascii="Arial" w:hAnsi="Arial" w:cs="Arial"/>
          <w:sz w:val="24"/>
          <w:szCs w:val="24"/>
        </w:rPr>
        <w:t xml:space="preserve"> </w:t>
      </w:r>
      <w:r w:rsidR="007E7C10">
        <w:rPr>
          <w:rFonts w:ascii="Arial" w:hAnsi="Arial" w:cs="Arial"/>
          <w:sz w:val="24"/>
          <w:szCs w:val="24"/>
        </w:rPr>
        <w:t>budowa przyłącza energetycznego na koszt własny inwestora w oparciu o wydane warunki przyłączeniowe i zawarte umowy przyłąc</w:t>
      </w:r>
      <w:r w:rsidR="00A3621D">
        <w:rPr>
          <w:rFonts w:ascii="Arial" w:hAnsi="Arial" w:cs="Arial"/>
          <w:sz w:val="24"/>
          <w:szCs w:val="24"/>
        </w:rPr>
        <w:t>z</w:t>
      </w:r>
      <w:r w:rsidR="007E7C10">
        <w:rPr>
          <w:rFonts w:ascii="Arial" w:hAnsi="Arial" w:cs="Arial"/>
          <w:sz w:val="24"/>
          <w:szCs w:val="24"/>
        </w:rPr>
        <w:t xml:space="preserve">eniowe z </w:t>
      </w:r>
      <w:r w:rsidR="006C29F6" w:rsidRPr="006C29F6">
        <w:rPr>
          <w:rFonts w:ascii="Arial" w:hAnsi="Arial" w:cs="Arial"/>
          <w:sz w:val="24"/>
          <w:szCs w:val="24"/>
        </w:rPr>
        <w:t>ENERGA - Operator S</w:t>
      </w:r>
      <w:r w:rsidR="006C29F6">
        <w:rPr>
          <w:rFonts w:ascii="Arial" w:hAnsi="Arial" w:cs="Arial"/>
          <w:sz w:val="24"/>
          <w:szCs w:val="24"/>
        </w:rPr>
        <w:t>.</w:t>
      </w:r>
      <w:r w:rsidR="006C29F6" w:rsidRPr="006C29F6">
        <w:rPr>
          <w:rFonts w:ascii="Arial" w:hAnsi="Arial" w:cs="Arial"/>
          <w:sz w:val="24"/>
          <w:szCs w:val="24"/>
        </w:rPr>
        <w:t>A</w:t>
      </w:r>
      <w:r w:rsidR="006C29F6">
        <w:rPr>
          <w:rFonts w:ascii="Arial" w:hAnsi="Arial" w:cs="Arial"/>
          <w:sz w:val="24"/>
          <w:szCs w:val="24"/>
        </w:rPr>
        <w:t xml:space="preserve">., ul. </w:t>
      </w:r>
      <w:r w:rsidR="00871AB7">
        <w:rPr>
          <w:rFonts w:ascii="Arial" w:hAnsi="Arial" w:cs="Arial"/>
          <w:sz w:val="24"/>
          <w:szCs w:val="24"/>
        </w:rPr>
        <w:t xml:space="preserve">Przemysłowa 114, 76- 200 Słupsk, tel. 59 841 60 00, </w:t>
      </w:r>
    </w:p>
    <w:p w:rsidR="00B35A24" w:rsidRDefault="00B35A24" w:rsidP="00B35A24">
      <w:pPr>
        <w:spacing w:after="0"/>
        <w:rPr>
          <w:rFonts w:ascii="Arial" w:hAnsi="Arial" w:cs="Arial"/>
          <w:b/>
          <w:sz w:val="24"/>
          <w:szCs w:val="24"/>
        </w:rPr>
      </w:pPr>
    </w:p>
    <w:p w:rsidR="008F31BF" w:rsidRPr="008F31BF" w:rsidRDefault="008F31BF" w:rsidP="008F31BF">
      <w:pPr>
        <w:spacing w:after="0"/>
        <w:jc w:val="both"/>
        <w:rPr>
          <w:rFonts w:ascii="Arial" w:hAnsi="Arial" w:cs="Arial"/>
          <w:sz w:val="24"/>
          <w:szCs w:val="24"/>
        </w:rPr>
      </w:pPr>
      <w:r w:rsidRPr="008F31BF">
        <w:rPr>
          <w:rFonts w:ascii="Arial" w:hAnsi="Arial"/>
          <w:sz w:val="24"/>
          <w:szCs w:val="24"/>
        </w:rPr>
        <w:t xml:space="preserve">Ponadto, istnieje możliwość uzyskania przez przedsiębiorcę decyzji o wsparciu w ramach Polskiej Strefy Inwestycji, w przypadku spełnienia kryteriów, o których mowa w rozporządzeniu Rady Ministrów w sprawie pomocy publicznej udzielanej niektórym przedsiębiorcom na realizację nowych inwestycji (Dz. U. z 2018, poz. 1713). </w:t>
      </w:r>
      <w:r>
        <w:rPr>
          <w:rFonts w:ascii="Arial" w:hAnsi="Arial"/>
          <w:sz w:val="24"/>
          <w:szCs w:val="24"/>
        </w:rPr>
        <w:br/>
      </w:r>
      <w:r>
        <w:rPr>
          <w:rFonts w:ascii="Arial" w:hAnsi="Arial" w:cs="Arial"/>
          <w:sz w:val="24"/>
          <w:szCs w:val="24"/>
        </w:rPr>
        <w:t xml:space="preserve">W przypadku uzyskania decyzji o wsparciu opłata za świadczenie usług na rzecz PARR S.A.  zostanie indywidualnie ustalona w oparciu o parametry inwestycji. </w:t>
      </w:r>
    </w:p>
    <w:p w:rsidR="008F31BF" w:rsidRDefault="008F31BF" w:rsidP="008F31BF">
      <w:pPr>
        <w:spacing w:after="0"/>
        <w:jc w:val="both"/>
        <w:rPr>
          <w:rFonts w:ascii="Arial" w:hAnsi="Arial" w:cs="Arial"/>
          <w:sz w:val="24"/>
          <w:szCs w:val="24"/>
        </w:rPr>
      </w:pPr>
      <w:r>
        <w:rPr>
          <w:rFonts w:ascii="Arial" w:hAnsi="Arial" w:cs="Arial"/>
          <w:sz w:val="24"/>
          <w:szCs w:val="24"/>
        </w:rPr>
        <w:t xml:space="preserve">W przypadku nieuzyskania decyzji o wsparciu </w:t>
      </w:r>
      <w:r w:rsidR="00CB1B4C" w:rsidRPr="00CB1B4C">
        <w:rPr>
          <w:rFonts w:ascii="Arial" w:hAnsi="Arial" w:cs="Arial"/>
          <w:sz w:val="24"/>
          <w:szCs w:val="24"/>
        </w:rPr>
        <w:t xml:space="preserve">Oferent </w:t>
      </w:r>
      <w:r w:rsidR="00CB1B4C">
        <w:rPr>
          <w:rFonts w:ascii="Arial" w:hAnsi="Arial" w:cs="Arial"/>
          <w:sz w:val="24"/>
          <w:szCs w:val="24"/>
        </w:rPr>
        <w:t>zobowiązany będzie ponosić miesięczną opłatę za zarządzanie i ad</w:t>
      </w:r>
      <w:r>
        <w:rPr>
          <w:rFonts w:ascii="Arial" w:hAnsi="Arial" w:cs="Arial"/>
          <w:sz w:val="24"/>
          <w:szCs w:val="24"/>
        </w:rPr>
        <w:t>ministrowanie strefą</w:t>
      </w:r>
      <w:r w:rsidR="00CB1B4C">
        <w:rPr>
          <w:rFonts w:ascii="Arial" w:hAnsi="Arial" w:cs="Arial"/>
          <w:sz w:val="24"/>
          <w:szCs w:val="24"/>
        </w:rPr>
        <w:t xml:space="preserve"> w wysokości 0,10 zł/m2 nieruchomości do dnia 31.12.2026r. </w:t>
      </w:r>
    </w:p>
    <w:p w:rsidR="00F300F2" w:rsidRDefault="00F300F2" w:rsidP="008F31BF">
      <w:pPr>
        <w:spacing w:after="0"/>
        <w:jc w:val="both"/>
        <w:rPr>
          <w:rFonts w:ascii="Arial" w:hAnsi="Arial" w:cs="Arial"/>
          <w:sz w:val="24"/>
          <w:szCs w:val="24"/>
        </w:rPr>
      </w:pPr>
    </w:p>
    <w:p w:rsidR="00F300F2" w:rsidRDefault="00F300F2" w:rsidP="008F31BF">
      <w:pPr>
        <w:spacing w:after="0"/>
        <w:jc w:val="both"/>
        <w:rPr>
          <w:rFonts w:ascii="Arial" w:hAnsi="Arial" w:cs="Arial"/>
          <w:sz w:val="24"/>
          <w:szCs w:val="24"/>
        </w:rPr>
      </w:pPr>
      <w:r>
        <w:rPr>
          <w:rFonts w:ascii="Arial" w:hAnsi="Arial" w:cs="Arial"/>
          <w:sz w:val="24"/>
          <w:szCs w:val="24"/>
        </w:rPr>
        <w:t xml:space="preserve">Działki będące przedmiotem przetargu podlegają wyłączeniu z produkcji rolniczej na podstawie odrębnych przepisów. </w:t>
      </w:r>
    </w:p>
    <w:p w:rsidR="008F31BF" w:rsidRDefault="008F31BF" w:rsidP="008F31BF">
      <w:pPr>
        <w:spacing w:after="0"/>
        <w:jc w:val="both"/>
        <w:rPr>
          <w:rFonts w:ascii="Arial" w:hAnsi="Arial" w:cs="Arial"/>
          <w:sz w:val="24"/>
          <w:szCs w:val="24"/>
        </w:rPr>
      </w:pPr>
    </w:p>
    <w:p w:rsidR="00B35A24" w:rsidRPr="008F31BF" w:rsidRDefault="00B35A24" w:rsidP="008F31BF">
      <w:pPr>
        <w:pStyle w:val="Akapitzlist"/>
        <w:numPr>
          <w:ilvl w:val="0"/>
          <w:numId w:val="3"/>
        </w:numPr>
        <w:spacing w:after="0"/>
        <w:jc w:val="both"/>
        <w:rPr>
          <w:rFonts w:ascii="Arial" w:hAnsi="Arial" w:cs="Arial"/>
          <w:b/>
          <w:sz w:val="24"/>
          <w:szCs w:val="24"/>
        </w:rPr>
      </w:pPr>
      <w:r w:rsidRPr="008F31BF">
        <w:rPr>
          <w:rFonts w:ascii="Arial" w:hAnsi="Arial" w:cs="Arial"/>
          <w:b/>
          <w:sz w:val="24"/>
          <w:szCs w:val="24"/>
        </w:rPr>
        <w:t xml:space="preserve">Cena nieruchomości </w:t>
      </w:r>
    </w:p>
    <w:p w:rsidR="00B35A24" w:rsidRDefault="00B35A24" w:rsidP="00B35A24">
      <w:pPr>
        <w:spacing w:after="0"/>
        <w:ind w:left="360"/>
        <w:rPr>
          <w:rFonts w:ascii="Arial" w:hAnsi="Arial" w:cs="Arial"/>
          <w:b/>
          <w:sz w:val="24"/>
          <w:szCs w:val="24"/>
        </w:rPr>
      </w:pPr>
    </w:p>
    <w:tbl>
      <w:tblPr>
        <w:tblStyle w:val="Tabela-Siatka"/>
        <w:tblW w:w="0" w:type="auto"/>
        <w:tblLayout w:type="fixed"/>
        <w:tblLook w:val="04A0" w:firstRow="1" w:lastRow="0" w:firstColumn="1" w:lastColumn="0" w:noHBand="0" w:noVBand="1"/>
      </w:tblPr>
      <w:tblGrid>
        <w:gridCol w:w="576"/>
        <w:gridCol w:w="2934"/>
        <w:gridCol w:w="1843"/>
        <w:gridCol w:w="2094"/>
      </w:tblGrid>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Lp. </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Oznaczenie nieruchomości  wg KW oraz katastru nieruchomości </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Powierzchnia (m2) </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Cena wywoławcza netto (zł) </w:t>
            </w:r>
          </w:p>
        </w:tc>
      </w:tr>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1.</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7/12</w:t>
            </w:r>
          </w:p>
          <w:p w:rsidR="009A262D" w:rsidRPr="009A262D" w:rsidRDefault="009A262D" w:rsidP="0025694F">
            <w:pPr>
              <w:jc w:val="both"/>
              <w:rPr>
                <w:rFonts w:ascii="Arial" w:hAnsi="Arial"/>
                <w:b/>
                <w:sz w:val="24"/>
                <w:szCs w:val="24"/>
              </w:rPr>
            </w:pPr>
            <w:r w:rsidRPr="009A262D">
              <w:rPr>
                <w:rFonts w:ascii="Arial" w:hAnsi="Arial"/>
                <w:b/>
                <w:sz w:val="24"/>
                <w:szCs w:val="24"/>
              </w:rPr>
              <w:t>KW nr SL1S/00095266/3</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50 522</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3.536.540,00</w:t>
            </w:r>
          </w:p>
        </w:tc>
      </w:tr>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2.</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7/14</w:t>
            </w:r>
          </w:p>
          <w:p w:rsidR="009A262D" w:rsidRPr="009A262D" w:rsidRDefault="009A262D" w:rsidP="0025694F">
            <w:pPr>
              <w:jc w:val="both"/>
              <w:rPr>
                <w:rFonts w:ascii="Arial" w:hAnsi="Arial"/>
                <w:b/>
                <w:sz w:val="24"/>
                <w:szCs w:val="24"/>
              </w:rPr>
            </w:pPr>
            <w:r w:rsidRPr="009A262D">
              <w:rPr>
                <w:rFonts w:ascii="Arial" w:hAnsi="Arial"/>
                <w:b/>
                <w:sz w:val="24"/>
                <w:szCs w:val="24"/>
              </w:rPr>
              <w:t>KW nr SL1S/00095266/3</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26 577</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1.860.390,00</w:t>
            </w:r>
          </w:p>
        </w:tc>
      </w:tr>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3.</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7/15</w:t>
            </w:r>
          </w:p>
          <w:p w:rsidR="009A262D" w:rsidRPr="009A262D" w:rsidRDefault="009A262D" w:rsidP="0025694F">
            <w:pPr>
              <w:jc w:val="both"/>
              <w:rPr>
                <w:rFonts w:ascii="Arial" w:hAnsi="Arial"/>
                <w:b/>
                <w:sz w:val="24"/>
                <w:szCs w:val="24"/>
              </w:rPr>
            </w:pPr>
            <w:r w:rsidRPr="009A262D">
              <w:rPr>
                <w:rFonts w:ascii="Arial" w:hAnsi="Arial"/>
                <w:b/>
                <w:sz w:val="24"/>
                <w:szCs w:val="24"/>
              </w:rPr>
              <w:t>KW nr SL1S/00095266/3</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33 752</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2.362.640,00</w:t>
            </w:r>
          </w:p>
        </w:tc>
      </w:tr>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4.</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7/52</w:t>
            </w:r>
          </w:p>
          <w:p w:rsidR="009A262D" w:rsidRPr="009A262D" w:rsidRDefault="009A262D" w:rsidP="0025694F">
            <w:pPr>
              <w:jc w:val="both"/>
              <w:rPr>
                <w:rFonts w:ascii="Arial" w:hAnsi="Arial"/>
                <w:b/>
                <w:sz w:val="24"/>
                <w:szCs w:val="24"/>
              </w:rPr>
            </w:pPr>
            <w:r w:rsidRPr="009A262D">
              <w:rPr>
                <w:rFonts w:ascii="Arial" w:hAnsi="Arial"/>
                <w:b/>
                <w:sz w:val="24"/>
                <w:szCs w:val="24"/>
              </w:rPr>
              <w:t>KW nr SL1S/00090111/7</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13 322</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   932.540,00</w:t>
            </w:r>
          </w:p>
        </w:tc>
      </w:tr>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5.</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7/72 i 7/79</w:t>
            </w:r>
          </w:p>
          <w:p w:rsidR="009A262D" w:rsidRPr="009A262D" w:rsidRDefault="009A262D" w:rsidP="0025694F">
            <w:pPr>
              <w:jc w:val="both"/>
              <w:rPr>
                <w:rFonts w:ascii="Arial" w:hAnsi="Arial"/>
                <w:b/>
                <w:sz w:val="24"/>
                <w:szCs w:val="24"/>
              </w:rPr>
            </w:pPr>
            <w:r w:rsidRPr="009A262D">
              <w:rPr>
                <w:rFonts w:ascii="Arial" w:hAnsi="Arial"/>
                <w:b/>
                <w:sz w:val="24"/>
                <w:szCs w:val="24"/>
              </w:rPr>
              <w:t>KW nr SL1S/00103038/6</w:t>
            </w:r>
          </w:p>
          <w:p w:rsidR="009A262D" w:rsidRPr="009A262D" w:rsidRDefault="009A262D" w:rsidP="0025694F">
            <w:pPr>
              <w:jc w:val="both"/>
              <w:rPr>
                <w:rFonts w:ascii="Arial" w:hAnsi="Arial"/>
                <w:b/>
                <w:sz w:val="24"/>
                <w:szCs w:val="24"/>
              </w:rPr>
            </w:pPr>
            <w:r w:rsidRPr="009A262D">
              <w:rPr>
                <w:rFonts w:ascii="Arial" w:hAnsi="Arial"/>
                <w:b/>
                <w:sz w:val="24"/>
                <w:szCs w:val="24"/>
              </w:rPr>
              <w:t>KW nr SL1S/00108652/1</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11 025</w:t>
            </w:r>
          </w:p>
          <w:p w:rsidR="009A262D" w:rsidRPr="009A262D" w:rsidRDefault="009A262D" w:rsidP="0025694F">
            <w:pPr>
              <w:jc w:val="both"/>
              <w:rPr>
                <w:rFonts w:ascii="Arial" w:hAnsi="Arial"/>
                <w:b/>
                <w:sz w:val="24"/>
                <w:szCs w:val="24"/>
              </w:rPr>
            </w:pPr>
            <w:r w:rsidRPr="009A262D">
              <w:rPr>
                <w:rFonts w:ascii="Arial" w:hAnsi="Arial"/>
                <w:b/>
                <w:sz w:val="24"/>
                <w:szCs w:val="24"/>
              </w:rPr>
              <w:t xml:space="preserve">     342</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   795.690,00</w:t>
            </w:r>
          </w:p>
        </w:tc>
      </w:tr>
      <w:tr w:rsidR="009A262D" w:rsidRPr="009A262D" w:rsidTr="0025694F">
        <w:tc>
          <w:tcPr>
            <w:tcW w:w="576"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6. </w:t>
            </w:r>
          </w:p>
        </w:tc>
        <w:tc>
          <w:tcPr>
            <w:tcW w:w="2934" w:type="dxa"/>
          </w:tcPr>
          <w:p w:rsidR="009A262D" w:rsidRPr="009A262D" w:rsidRDefault="009A262D" w:rsidP="0025694F">
            <w:pPr>
              <w:jc w:val="both"/>
              <w:rPr>
                <w:rFonts w:ascii="Arial" w:hAnsi="Arial"/>
                <w:b/>
                <w:sz w:val="24"/>
                <w:szCs w:val="24"/>
              </w:rPr>
            </w:pPr>
            <w:r w:rsidRPr="009A262D">
              <w:rPr>
                <w:rFonts w:ascii="Arial" w:hAnsi="Arial"/>
                <w:b/>
                <w:sz w:val="24"/>
                <w:szCs w:val="24"/>
              </w:rPr>
              <w:t>7/83</w:t>
            </w:r>
          </w:p>
          <w:p w:rsidR="009A262D" w:rsidRPr="009A262D" w:rsidRDefault="009A262D" w:rsidP="0025694F">
            <w:pPr>
              <w:jc w:val="both"/>
              <w:rPr>
                <w:rFonts w:ascii="Arial" w:hAnsi="Arial"/>
                <w:b/>
                <w:sz w:val="24"/>
                <w:szCs w:val="24"/>
              </w:rPr>
            </w:pPr>
            <w:r w:rsidRPr="009A262D">
              <w:rPr>
                <w:rFonts w:ascii="Arial" w:hAnsi="Arial"/>
                <w:b/>
                <w:sz w:val="24"/>
                <w:szCs w:val="24"/>
              </w:rPr>
              <w:t>KW nr SL1S/00095266/3</w:t>
            </w:r>
          </w:p>
        </w:tc>
        <w:tc>
          <w:tcPr>
            <w:tcW w:w="1843"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13 722 </w:t>
            </w:r>
          </w:p>
        </w:tc>
        <w:tc>
          <w:tcPr>
            <w:tcW w:w="2094" w:type="dxa"/>
          </w:tcPr>
          <w:p w:rsidR="009A262D" w:rsidRPr="009A262D" w:rsidRDefault="009A262D" w:rsidP="0025694F">
            <w:pPr>
              <w:jc w:val="both"/>
              <w:rPr>
                <w:rFonts w:ascii="Arial" w:hAnsi="Arial"/>
                <w:b/>
                <w:sz w:val="24"/>
                <w:szCs w:val="24"/>
              </w:rPr>
            </w:pPr>
            <w:r w:rsidRPr="009A262D">
              <w:rPr>
                <w:rFonts w:ascii="Arial" w:hAnsi="Arial"/>
                <w:b/>
                <w:sz w:val="24"/>
                <w:szCs w:val="24"/>
              </w:rPr>
              <w:t xml:space="preserve">   960.540,00</w:t>
            </w:r>
          </w:p>
        </w:tc>
      </w:tr>
    </w:tbl>
    <w:p w:rsidR="009A262D" w:rsidRDefault="009A262D" w:rsidP="009A262D">
      <w:pPr>
        <w:jc w:val="both"/>
        <w:rPr>
          <w:rFonts w:ascii="Arial" w:hAnsi="Arial"/>
          <w:b/>
          <w:color w:val="000080"/>
          <w:sz w:val="24"/>
          <w:szCs w:val="24"/>
        </w:rPr>
      </w:pPr>
    </w:p>
    <w:p w:rsidR="009A262D" w:rsidRDefault="009A262D" w:rsidP="009A262D">
      <w:pPr>
        <w:jc w:val="both"/>
        <w:rPr>
          <w:rFonts w:ascii="Arial" w:hAnsi="Arial"/>
          <w:sz w:val="24"/>
          <w:szCs w:val="24"/>
        </w:rPr>
      </w:pPr>
      <w:r w:rsidRPr="009A262D">
        <w:rPr>
          <w:rFonts w:ascii="Arial" w:hAnsi="Arial"/>
          <w:sz w:val="24"/>
          <w:szCs w:val="24"/>
        </w:rPr>
        <w:t xml:space="preserve">Do zaoferowanej ceny, zgodnie z ustawą o podatku od towarów i usług, zostanie doliczony podatek zgodnie </w:t>
      </w:r>
      <w:r>
        <w:rPr>
          <w:rFonts w:ascii="Arial" w:hAnsi="Arial"/>
          <w:sz w:val="24"/>
          <w:szCs w:val="24"/>
        </w:rPr>
        <w:t xml:space="preserve">z obowiązującą w dniu sprzedaży stawką VAT. </w:t>
      </w:r>
    </w:p>
    <w:p w:rsidR="009903EE" w:rsidRPr="009903EE" w:rsidRDefault="009903EE" w:rsidP="009A262D">
      <w:pPr>
        <w:jc w:val="both"/>
        <w:rPr>
          <w:rFonts w:ascii="Arial" w:hAnsi="Arial"/>
          <w:sz w:val="24"/>
          <w:szCs w:val="24"/>
          <w:lang w:eastAsia="pl-PL"/>
        </w:rPr>
      </w:pPr>
      <w:r w:rsidRPr="009903EE">
        <w:rPr>
          <w:rFonts w:ascii="Arial" w:hAnsi="Arial"/>
          <w:sz w:val="24"/>
          <w:szCs w:val="24"/>
        </w:rPr>
        <w:t>Dopuszcza się również sprzedaż części działki po cenie 70zł netto/m2.</w:t>
      </w:r>
    </w:p>
    <w:p w:rsidR="009A262D" w:rsidRDefault="009A262D" w:rsidP="009A262D">
      <w:pPr>
        <w:jc w:val="both"/>
        <w:rPr>
          <w:rFonts w:ascii="Arial" w:hAnsi="Arial"/>
          <w:sz w:val="24"/>
          <w:szCs w:val="24"/>
          <w:u w:val="single"/>
        </w:rPr>
      </w:pPr>
      <w:r w:rsidRPr="009A262D">
        <w:rPr>
          <w:rFonts w:ascii="Arial" w:hAnsi="Arial"/>
          <w:sz w:val="24"/>
          <w:szCs w:val="24"/>
          <w:u w:val="single"/>
        </w:rPr>
        <w:t xml:space="preserve">Warunkiem rozpatrywania oferty jest zaproponowanie przez Oferenta ceny </w:t>
      </w:r>
      <w:r w:rsidR="00871AB7">
        <w:rPr>
          <w:rFonts w:ascii="Arial" w:hAnsi="Arial"/>
          <w:sz w:val="24"/>
          <w:szCs w:val="24"/>
          <w:u w:val="single"/>
        </w:rPr>
        <w:t xml:space="preserve">nabycia </w:t>
      </w:r>
      <w:r w:rsidRPr="009A262D">
        <w:rPr>
          <w:rFonts w:ascii="Arial" w:hAnsi="Arial"/>
          <w:sz w:val="24"/>
          <w:szCs w:val="24"/>
          <w:u w:val="single"/>
        </w:rPr>
        <w:t xml:space="preserve">nie niższej niż cena wywoławcza nieruchomości. </w:t>
      </w:r>
    </w:p>
    <w:p w:rsidR="009A262D" w:rsidRDefault="009A262D" w:rsidP="009A262D">
      <w:pPr>
        <w:jc w:val="both"/>
        <w:rPr>
          <w:rFonts w:ascii="Arial" w:hAnsi="Arial"/>
          <w:sz w:val="24"/>
          <w:szCs w:val="24"/>
        </w:rPr>
      </w:pPr>
      <w:r>
        <w:rPr>
          <w:rFonts w:ascii="Arial" w:hAnsi="Arial"/>
          <w:sz w:val="24"/>
          <w:szCs w:val="24"/>
        </w:rPr>
        <w:t>W razie ustalenia, że kilku oferentów zaoferowało tę samą cenę, prowadzący przetarg informuje oferentów o terminie i miejscu kontynuacji przetargu w formie licytacji. W przypadku obecności</w:t>
      </w:r>
      <w:r w:rsidR="00871AB7">
        <w:rPr>
          <w:rFonts w:ascii="Arial" w:hAnsi="Arial"/>
          <w:sz w:val="24"/>
          <w:szCs w:val="24"/>
        </w:rPr>
        <w:t xml:space="preserve"> wszystkich oferentów Przewodniczący Komisji Przetargowej </w:t>
      </w:r>
      <w:r w:rsidR="001C76E4">
        <w:rPr>
          <w:rFonts w:ascii="Arial" w:hAnsi="Arial"/>
          <w:sz w:val="24"/>
          <w:szCs w:val="24"/>
        </w:rPr>
        <w:t xml:space="preserve">kontynuuje przetarg w formie licytacji. </w:t>
      </w:r>
    </w:p>
    <w:p w:rsidR="001C76E4" w:rsidRPr="001C76E4" w:rsidRDefault="001C76E4" w:rsidP="009A262D">
      <w:pPr>
        <w:jc w:val="both"/>
        <w:rPr>
          <w:rFonts w:ascii="Arial" w:hAnsi="Arial"/>
          <w:sz w:val="24"/>
          <w:szCs w:val="24"/>
          <w:u w:val="single"/>
        </w:rPr>
      </w:pPr>
      <w:r w:rsidRPr="001C76E4">
        <w:rPr>
          <w:rFonts w:ascii="Arial" w:hAnsi="Arial"/>
          <w:sz w:val="24"/>
          <w:szCs w:val="24"/>
          <w:u w:val="single"/>
        </w:rPr>
        <w:t>Cena sprzedaży, pomniejszona o wpłacone wadium, podlega jednorazowej zapłacie na konto Pomorskiej Agencji Rozwoju Regionalnego S.A. w Banku ALIOR BANK S.A. 07 2490 0005 0000 4600 5060 1029, najpóźniej dzień przed wyznaczonym terminem zawarcia umowy sprzedaż</w:t>
      </w:r>
      <w:r w:rsidR="00871AB7">
        <w:rPr>
          <w:rFonts w:ascii="Arial" w:hAnsi="Arial"/>
          <w:sz w:val="24"/>
          <w:szCs w:val="24"/>
          <w:u w:val="single"/>
        </w:rPr>
        <w:t>y. Za datę wpłaty ceny nabycia</w:t>
      </w:r>
      <w:r w:rsidRPr="001C76E4">
        <w:rPr>
          <w:rFonts w:ascii="Arial" w:hAnsi="Arial"/>
          <w:sz w:val="24"/>
          <w:szCs w:val="24"/>
          <w:u w:val="single"/>
        </w:rPr>
        <w:t xml:space="preserve">, pomniejszonej </w:t>
      </w:r>
      <w:r w:rsidR="00871AB7">
        <w:rPr>
          <w:rFonts w:ascii="Arial" w:hAnsi="Arial"/>
          <w:sz w:val="24"/>
          <w:szCs w:val="24"/>
          <w:u w:val="single"/>
        </w:rPr>
        <w:br/>
      </w:r>
      <w:r w:rsidRPr="001C76E4">
        <w:rPr>
          <w:rFonts w:ascii="Arial" w:hAnsi="Arial"/>
          <w:sz w:val="24"/>
          <w:szCs w:val="24"/>
          <w:u w:val="single"/>
        </w:rPr>
        <w:t xml:space="preserve">o wpłacone wadium, uważa się datę wpływu wymaganej kwoty na wskazany wyżej rachunek Pomorskiej Agencji Rozwoju Regionalnego S.A.  </w:t>
      </w:r>
    </w:p>
    <w:p w:rsidR="00D106DD" w:rsidRPr="00F473C8" w:rsidRDefault="00D106DD" w:rsidP="00D106DD">
      <w:pPr>
        <w:spacing w:after="0"/>
        <w:jc w:val="both"/>
        <w:rPr>
          <w:rFonts w:ascii="Arial" w:hAnsi="Arial" w:cs="Arial"/>
          <w:bCs/>
          <w:sz w:val="24"/>
          <w:szCs w:val="24"/>
        </w:rPr>
      </w:pPr>
      <w:r w:rsidRPr="00D106DD">
        <w:rPr>
          <w:rFonts w:ascii="Arial" w:hAnsi="Arial" w:cs="Arial"/>
          <w:bCs/>
          <w:sz w:val="24"/>
          <w:szCs w:val="24"/>
        </w:rPr>
        <w:t>Organizator przetargu dopuszcza możliwość zapłaty ceny nabycia za nieruchomości objęte przetargiem w systemie rat</w:t>
      </w:r>
      <w:r w:rsidR="001B64C2">
        <w:rPr>
          <w:rFonts w:ascii="Arial" w:hAnsi="Arial" w:cs="Arial"/>
          <w:bCs/>
          <w:sz w:val="24"/>
          <w:szCs w:val="24"/>
        </w:rPr>
        <w:t xml:space="preserve">alnym  z oprocentowaniem WIBOR </w:t>
      </w:r>
      <w:r w:rsidRPr="00D106DD">
        <w:rPr>
          <w:rFonts w:ascii="Arial" w:hAnsi="Arial" w:cs="Arial"/>
          <w:bCs/>
          <w:sz w:val="24"/>
          <w:szCs w:val="24"/>
        </w:rPr>
        <w:t>6M</w:t>
      </w:r>
      <w:r w:rsidR="001B64C2">
        <w:rPr>
          <w:rFonts w:ascii="Arial" w:hAnsi="Arial" w:cs="Arial"/>
          <w:bCs/>
          <w:sz w:val="24"/>
          <w:szCs w:val="24"/>
        </w:rPr>
        <w:t xml:space="preserve"> + 2% </w:t>
      </w:r>
      <w:r w:rsidRPr="00D106DD">
        <w:rPr>
          <w:rFonts w:ascii="Arial" w:hAnsi="Arial" w:cs="Arial"/>
          <w:bCs/>
          <w:sz w:val="24"/>
          <w:szCs w:val="24"/>
        </w:rPr>
        <w:t xml:space="preserve"> </w:t>
      </w:r>
      <w:r w:rsidR="00F473C8">
        <w:rPr>
          <w:rFonts w:ascii="Arial" w:hAnsi="Arial" w:cs="Arial"/>
          <w:bCs/>
          <w:sz w:val="24"/>
          <w:szCs w:val="24"/>
        </w:rPr>
        <w:t xml:space="preserve">marży </w:t>
      </w:r>
      <w:r w:rsidRPr="00D106DD">
        <w:rPr>
          <w:rFonts w:ascii="Arial" w:hAnsi="Arial" w:cs="Arial"/>
          <w:bCs/>
          <w:sz w:val="24"/>
          <w:szCs w:val="24"/>
        </w:rPr>
        <w:t xml:space="preserve">w stosunku rocznym pod warunkiem rzeczowego zabezpieczenia zapłaty ceny na zbywanych nieruchomościach lub w innym uzgodniony przez strony umowy sposób. Warunki rozłożenia ceny  na raty strony określą w  umowie kupna sprzedaży </w:t>
      </w:r>
      <w:r w:rsidRPr="00F473C8">
        <w:rPr>
          <w:rFonts w:ascii="Arial" w:hAnsi="Arial" w:cs="Arial"/>
          <w:bCs/>
          <w:sz w:val="24"/>
          <w:szCs w:val="24"/>
        </w:rPr>
        <w:t>nieruchomości z tym, że zapłata całej ceny nie może nastąpić późnej w ciągu 2 lat od dnia  zawarcia umowy kupna sprzedaży przenoszącej własność nie</w:t>
      </w:r>
      <w:r w:rsidR="00F473C8">
        <w:rPr>
          <w:rFonts w:ascii="Arial" w:hAnsi="Arial" w:cs="Arial"/>
          <w:bCs/>
          <w:sz w:val="24"/>
          <w:szCs w:val="24"/>
        </w:rPr>
        <w:t>ruchomości objętych przetargiem. C</w:t>
      </w:r>
      <w:r w:rsidRPr="00F473C8">
        <w:rPr>
          <w:rFonts w:ascii="Arial" w:hAnsi="Arial" w:cs="Arial"/>
          <w:bCs/>
          <w:sz w:val="24"/>
          <w:szCs w:val="24"/>
        </w:rPr>
        <w:t>ena nie może być rozłożo</w:t>
      </w:r>
      <w:r w:rsidR="00F473C8">
        <w:rPr>
          <w:rFonts w:ascii="Arial" w:hAnsi="Arial" w:cs="Arial"/>
          <w:bCs/>
          <w:sz w:val="24"/>
          <w:szCs w:val="24"/>
        </w:rPr>
        <w:t xml:space="preserve">na na nie więcej  niż 24 </w:t>
      </w:r>
      <w:r w:rsidRPr="00F473C8">
        <w:rPr>
          <w:rFonts w:ascii="Arial" w:hAnsi="Arial" w:cs="Arial"/>
          <w:bCs/>
          <w:sz w:val="24"/>
          <w:szCs w:val="24"/>
        </w:rPr>
        <w:t>rat</w:t>
      </w:r>
      <w:r w:rsidR="00F473C8">
        <w:rPr>
          <w:rFonts w:ascii="Arial" w:hAnsi="Arial" w:cs="Arial"/>
          <w:bCs/>
          <w:sz w:val="24"/>
          <w:szCs w:val="24"/>
        </w:rPr>
        <w:t>y</w:t>
      </w:r>
      <w:r w:rsidRPr="00F473C8">
        <w:rPr>
          <w:rFonts w:ascii="Arial" w:hAnsi="Arial" w:cs="Arial"/>
          <w:bCs/>
          <w:sz w:val="24"/>
          <w:szCs w:val="24"/>
        </w:rPr>
        <w:t xml:space="preserve"> </w:t>
      </w:r>
      <w:r w:rsidR="00F473C8">
        <w:rPr>
          <w:rFonts w:ascii="Arial" w:hAnsi="Arial" w:cs="Arial"/>
          <w:bCs/>
          <w:sz w:val="24"/>
          <w:szCs w:val="24"/>
        </w:rPr>
        <w:t>(płatne 12 razy w roku, co miesiąc w równych ratach w wyjątkiem pierwszej raty).  P</w:t>
      </w:r>
      <w:r w:rsidRPr="00F473C8">
        <w:rPr>
          <w:rFonts w:ascii="Arial" w:hAnsi="Arial" w:cs="Arial"/>
          <w:bCs/>
          <w:sz w:val="24"/>
          <w:szCs w:val="24"/>
        </w:rPr>
        <w:t>ierwsza rata nie może być niższa niż wysokość należnego podatku VA</w:t>
      </w:r>
      <w:r w:rsidR="00F473C8">
        <w:rPr>
          <w:rFonts w:ascii="Arial" w:hAnsi="Arial" w:cs="Arial"/>
          <w:bCs/>
          <w:sz w:val="24"/>
          <w:szCs w:val="24"/>
        </w:rPr>
        <w:t xml:space="preserve">T doliczanego do ceny sprzedaży, płatna najpóźniej dzień przed wyznaczonym terminem zawarcia umowy sprzedaży. </w:t>
      </w:r>
    </w:p>
    <w:p w:rsidR="00871AB7" w:rsidRDefault="00D106DD" w:rsidP="00D106DD">
      <w:pPr>
        <w:spacing w:after="0"/>
        <w:jc w:val="both"/>
        <w:rPr>
          <w:rFonts w:ascii="Arial" w:hAnsi="Arial" w:cs="Arial"/>
          <w:bCs/>
          <w:sz w:val="24"/>
          <w:szCs w:val="24"/>
        </w:rPr>
      </w:pPr>
      <w:r w:rsidRPr="00D106DD">
        <w:rPr>
          <w:rFonts w:ascii="Arial" w:hAnsi="Arial" w:cs="Arial"/>
          <w:bCs/>
          <w:sz w:val="24"/>
          <w:szCs w:val="24"/>
        </w:rPr>
        <w:t xml:space="preserve">W przypadku gdyby oferent chciał skorzystać z takiego sposobu zapłaty ceny  sprzedaży, do składanej w przetargu oferty, winien złożyć dodatkowo aktualne zaświadczenia (nie starsze niż miesiąc od daty składania ofert)  o niezaleganiu </w:t>
      </w:r>
      <w:r w:rsidR="00871AB7">
        <w:rPr>
          <w:rFonts w:ascii="Arial" w:hAnsi="Arial" w:cs="Arial"/>
          <w:bCs/>
          <w:sz w:val="24"/>
          <w:szCs w:val="24"/>
        </w:rPr>
        <w:br/>
      </w:r>
      <w:r w:rsidRPr="00D106DD">
        <w:rPr>
          <w:rFonts w:ascii="Arial" w:hAnsi="Arial" w:cs="Arial"/>
          <w:bCs/>
          <w:sz w:val="24"/>
          <w:szCs w:val="24"/>
        </w:rPr>
        <w:t xml:space="preserve">z zapłatą zobowiązań publicznoprawych tj. ZUS , podatek VAT, podatek dochodowy </w:t>
      </w:r>
    </w:p>
    <w:p w:rsidR="00D106DD" w:rsidRPr="00D106DD" w:rsidRDefault="00D106DD" w:rsidP="00D106DD">
      <w:pPr>
        <w:spacing w:after="0"/>
        <w:jc w:val="both"/>
        <w:rPr>
          <w:rFonts w:ascii="Arial" w:hAnsi="Arial" w:cs="Arial"/>
          <w:bCs/>
          <w:sz w:val="24"/>
          <w:szCs w:val="24"/>
        </w:rPr>
      </w:pPr>
      <w:r w:rsidRPr="00D106DD">
        <w:rPr>
          <w:rFonts w:ascii="Arial" w:hAnsi="Arial" w:cs="Arial"/>
          <w:bCs/>
          <w:sz w:val="24"/>
          <w:szCs w:val="24"/>
        </w:rPr>
        <w:t xml:space="preserve">i podatek od nieruchomości (jeśli takie posiada) a także bilans i rachunek zysków </w:t>
      </w:r>
      <w:r w:rsidR="00871AB7">
        <w:rPr>
          <w:rFonts w:ascii="Arial" w:hAnsi="Arial" w:cs="Arial"/>
          <w:bCs/>
          <w:sz w:val="24"/>
          <w:szCs w:val="24"/>
        </w:rPr>
        <w:br/>
      </w:r>
      <w:r w:rsidRPr="00D106DD">
        <w:rPr>
          <w:rFonts w:ascii="Arial" w:hAnsi="Arial" w:cs="Arial"/>
          <w:bCs/>
          <w:sz w:val="24"/>
          <w:szCs w:val="24"/>
        </w:rPr>
        <w:t>i strat ze sta</w:t>
      </w:r>
      <w:r w:rsidR="001B64C2">
        <w:rPr>
          <w:rFonts w:ascii="Arial" w:hAnsi="Arial" w:cs="Arial"/>
          <w:bCs/>
          <w:sz w:val="24"/>
          <w:szCs w:val="24"/>
        </w:rPr>
        <w:t>nem na dzień na dzień 31.12.2018</w:t>
      </w:r>
      <w:r w:rsidRPr="00D106DD">
        <w:rPr>
          <w:rFonts w:ascii="Arial" w:hAnsi="Arial" w:cs="Arial"/>
          <w:bCs/>
          <w:sz w:val="24"/>
          <w:szCs w:val="24"/>
        </w:rPr>
        <w:t xml:space="preserve">r. i na  31.10.2019r.  .           </w:t>
      </w:r>
    </w:p>
    <w:p w:rsidR="001C76E4" w:rsidRDefault="001C76E4" w:rsidP="00871AB7">
      <w:pPr>
        <w:spacing w:after="0"/>
        <w:rPr>
          <w:rFonts w:ascii="Arial" w:hAnsi="Arial" w:cs="Arial"/>
          <w:b/>
          <w:sz w:val="24"/>
          <w:szCs w:val="24"/>
        </w:rPr>
      </w:pPr>
    </w:p>
    <w:p w:rsidR="00B35A24" w:rsidRDefault="00B35A24" w:rsidP="00B35A24">
      <w:pPr>
        <w:spacing w:after="0"/>
        <w:ind w:left="360"/>
        <w:rPr>
          <w:rFonts w:ascii="Arial" w:hAnsi="Arial" w:cs="Arial"/>
          <w:b/>
          <w:sz w:val="24"/>
          <w:szCs w:val="24"/>
        </w:rPr>
      </w:pPr>
    </w:p>
    <w:p w:rsidR="00B35A24" w:rsidRDefault="00B35A24" w:rsidP="00B35A24">
      <w:pPr>
        <w:pStyle w:val="Akapitzlist"/>
        <w:numPr>
          <w:ilvl w:val="0"/>
          <w:numId w:val="3"/>
        </w:numPr>
        <w:spacing w:after="0"/>
        <w:rPr>
          <w:rFonts w:ascii="Arial" w:hAnsi="Arial" w:cs="Arial"/>
          <w:b/>
          <w:sz w:val="24"/>
          <w:szCs w:val="24"/>
        </w:rPr>
      </w:pPr>
      <w:r>
        <w:rPr>
          <w:rFonts w:ascii="Arial" w:hAnsi="Arial" w:cs="Arial"/>
          <w:b/>
          <w:sz w:val="24"/>
          <w:szCs w:val="24"/>
        </w:rPr>
        <w:t xml:space="preserve">Wymagania dotyczące wadium </w:t>
      </w:r>
    </w:p>
    <w:p w:rsidR="00BF3F70" w:rsidRDefault="00BF3F70" w:rsidP="00BF3F70">
      <w:pPr>
        <w:spacing w:after="0"/>
        <w:rPr>
          <w:rFonts w:ascii="Arial" w:hAnsi="Arial" w:cs="Arial"/>
          <w:b/>
          <w:sz w:val="24"/>
          <w:szCs w:val="24"/>
        </w:rPr>
      </w:pPr>
    </w:p>
    <w:p w:rsidR="00BF3F70" w:rsidRDefault="00BF3F70" w:rsidP="002B5404">
      <w:pPr>
        <w:spacing w:after="0"/>
        <w:jc w:val="both"/>
        <w:rPr>
          <w:rFonts w:ascii="Arial" w:hAnsi="Arial" w:cs="Arial"/>
          <w:sz w:val="24"/>
          <w:szCs w:val="24"/>
        </w:rPr>
      </w:pPr>
      <w:r w:rsidRPr="00BF3F70">
        <w:rPr>
          <w:rFonts w:ascii="Arial" w:hAnsi="Arial" w:cs="Arial"/>
          <w:sz w:val="24"/>
          <w:szCs w:val="24"/>
        </w:rPr>
        <w:t xml:space="preserve">Warunkiem przystąpienia do przetargu </w:t>
      </w:r>
      <w:r>
        <w:rPr>
          <w:rFonts w:ascii="Arial" w:hAnsi="Arial" w:cs="Arial"/>
          <w:sz w:val="24"/>
          <w:szCs w:val="24"/>
        </w:rPr>
        <w:t xml:space="preserve">jest wniesienie wadium w wysokości 10% ceny wywoławczej wskazanej w tabeli w ogłoszeniu. </w:t>
      </w:r>
    </w:p>
    <w:p w:rsidR="00BF3F70" w:rsidRDefault="00BF3F70" w:rsidP="002B5404">
      <w:pPr>
        <w:spacing w:after="0"/>
        <w:jc w:val="both"/>
        <w:rPr>
          <w:rFonts w:ascii="Arial" w:hAnsi="Arial" w:cs="Arial"/>
          <w:sz w:val="24"/>
          <w:szCs w:val="24"/>
        </w:rPr>
      </w:pPr>
    </w:p>
    <w:p w:rsidR="00BF3F70" w:rsidRDefault="00BF3F70" w:rsidP="002B5404">
      <w:pPr>
        <w:spacing w:after="0"/>
        <w:jc w:val="both"/>
        <w:rPr>
          <w:rFonts w:ascii="Arial" w:hAnsi="Arial" w:cs="Arial"/>
          <w:sz w:val="24"/>
          <w:szCs w:val="24"/>
        </w:rPr>
      </w:pPr>
      <w:r>
        <w:rPr>
          <w:rFonts w:ascii="Arial" w:hAnsi="Arial" w:cs="Arial"/>
          <w:sz w:val="24"/>
          <w:szCs w:val="24"/>
        </w:rPr>
        <w:t xml:space="preserve">Wadium należy wnieść na konto </w:t>
      </w:r>
      <w:r w:rsidRPr="00BF3F70">
        <w:rPr>
          <w:rFonts w:ascii="Arial" w:hAnsi="Arial"/>
          <w:sz w:val="24"/>
          <w:szCs w:val="24"/>
        </w:rPr>
        <w:t xml:space="preserve">Pomorskiej Agencji Rozwoju Regionalnego S.A.  </w:t>
      </w:r>
      <w:r w:rsidR="00A96E7C">
        <w:rPr>
          <w:rFonts w:ascii="Arial" w:hAnsi="Arial"/>
          <w:sz w:val="24"/>
          <w:szCs w:val="24"/>
        </w:rPr>
        <w:br/>
      </w:r>
      <w:r w:rsidRPr="00BF3F70">
        <w:rPr>
          <w:rFonts w:ascii="Arial" w:hAnsi="Arial" w:cs="Arial"/>
          <w:sz w:val="24"/>
          <w:szCs w:val="24"/>
        </w:rPr>
        <w:t>w Banku ALIOR BANK S.A. 07 2490 0005 0000 4600 5060 1029</w:t>
      </w:r>
      <w:r w:rsidR="00096557">
        <w:rPr>
          <w:rFonts w:ascii="Arial" w:hAnsi="Arial" w:cs="Arial"/>
          <w:sz w:val="24"/>
          <w:szCs w:val="24"/>
        </w:rPr>
        <w:t xml:space="preserve"> najpóźniej do dnia </w:t>
      </w:r>
      <w:r w:rsidR="00096557">
        <w:rPr>
          <w:rFonts w:ascii="Arial" w:hAnsi="Arial" w:cs="Arial"/>
          <w:sz w:val="24"/>
          <w:szCs w:val="24"/>
        </w:rPr>
        <w:br/>
      </w:r>
      <w:r w:rsidR="00096557" w:rsidRPr="00096557">
        <w:rPr>
          <w:rFonts w:ascii="Arial" w:hAnsi="Arial" w:cs="Arial"/>
          <w:b/>
          <w:sz w:val="24"/>
          <w:szCs w:val="24"/>
        </w:rPr>
        <w:t>19</w:t>
      </w:r>
      <w:r w:rsidRPr="00096557">
        <w:rPr>
          <w:rFonts w:ascii="Arial" w:hAnsi="Arial" w:cs="Arial"/>
          <w:b/>
          <w:sz w:val="24"/>
          <w:szCs w:val="24"/>
        </w:rPr>
        <w:t xml:space="preserve"> grudnia 2019 roku</w:t>
      </w:r>
      <w:r>
        <w:rPr>
          <w:rFonts w:ascii="Arial" w:hAnsi="Arial" w:cs="Arial"/>
          <w:sz w:val="24"/>
          <w:szCs w:val="24"/>
        </w:rPr>
        <w:t xml:space="preserve">, to jest z takim wyprzedzeniem, aby kwota ta znalazła się najpóźniej w tym dniu na koncie PARR S.A. </w:t>
      </w:r>
    </w:p>
    <w:p w:rsidR="00BF3F70" w:rsidRDefault="00BF3F70" w:rsidP="002B5404">
      <w:pPr>
        <w:spacing w:after="0"/>
        <w:jc w:val="both"/>
        <w:rPr>
          <w:rFonts w:ascii="Arial" w:hAnsi="Arial" w:cs="Arial"/>
          <w:sz w:val="24"/>
          <w:szCs w:val="24"/>
        </w:rPr>
      </w:pPr>
    </w:p>
    <w:p w:rsidR="00BF3F70" w:rsidRDefault="00BF3F70" w:rsidP="002B5404">
      <w:pPr>
        <w:spacing w:after="0"/>
        <w:jc w:val="both"/>
        <w:rPr>
          <w:rFonts w:ascii="Arial" w:hAnsi="Arial" w:cs="Arial"/>
          <w:sz w:val="24"/>
          <w:szCs w:val="24"/>
        </w:rPr>
      </w:pPr>
      <w:r>
        <w:rPr>
          <w:rFonts w:ascii="Arial" w:hAnsi="Arial" w:cs="Arial"/>
          <w:sz w:val="24"/>
          <w:szCs w:val="24"/>
        </w:rPr>
        <w:t xml:space="preserve"> Potwierdzenie wpłaty wadium winno być dołączone do oferty. Oferta, która nie będzie zabezpieczona wadium zostanie przez Komisję Przetargową odrzucona. </w:t>
      </w:r>
    </w:p>
    <w:p w:rsidR="00BF3F70" w:rsidRDefault="00BF3F70" w:rsidP="002B5404">
      <w:pPr>
        <w:spacing w:after="0"/>
        <w:jc w:val="both"/>
        <w:rPr>
          <w:rFonts w:ascii="Arial" w:hAnsi="Arial" w:cs="Arial"/>
          <w:sz w:val="24"/>
          <w:szCs w:val="24"/>
        </w:rPr>
      </w:pPr>
    </w:p>
    <w:p w:rsidR="00BF3F70" w:rsidRDefault="00BF3F70" w:rsidP="002B5404">
      <w:pPr>
        <w:spacing w:after="0"/>
        <w:jc w:val="both"/>
        <w:rPr>
          <w:rFonts w:ascii="Arial" w:hAnsi="Arial" w:cs="Arial"/>
          <w:sz w:val="24"/>
          <w:szCs w:val="24"/>
        </w:rPr>
      </w:pPr>
      <w:r>
        <w:rPr>
          <w:rFonts w:ascii="Arial" w:hAnsi="Arial" w:cs="Arial"/>
          <w:sz w:val="24"/>
          <w:szCs w:val="24"/>
        </w:rPr>
        <w:t xml:space="preserve">Wadium nie podlega oprocentowaniu. </w:t>
      </w:r>
    </w:p>
    <w:p w:rsidR="00BF3F70" w:rsidRDefault="00BF3F70" w:rsidP="002B5404">
      <w:pPr>
        <w:spacing w:after="0"/>
        <w:jc w:val="both"/>
        <w:rPr>
          <w:rFonts w:ascii="Arial" w:hAnsi="Arial" w:cs="Arial"/>
          <w:sz w:val="24"/>
          <w:szCs w:val="24"/>
        </w:rPr>
      </w:pPr>
    </w:p>
    <w:p w:rsidR="00BF3F70" w:rsidRDefault="00BF3F70" w:rsidP="002B5404">
      <w:pPr>
        <w:spacing w:after="0"/>
        <w:jc w:val="both"/>
        <w:rPr>
          <w:rFonts w:ascii="Arial" w:hAnsi="Arial" w:cs="Arial"/>
          <w:sz w:val="24"/>
          <w:szCs w:val="24"/>
        </w:rPr>
      </w:pPr>
      <w:r>
        <w:rPr>
          <w:rFonts w:ascii="Arial" w:hAnsi="Arial" w:cs="Arial"/>
          <w:sz w:val="24"/>
          <w:szCs w:val="24"/>
        </w:rPr>
        <w:t xml:space="preserve">Wadium wpłacone przez oferenta, który przetarg wygrał, zostanie zaliczone na poczet ceny nabycia, zaś pozostałym uczestnikom </w:t>
      </w:r>
      <w:r w:rsidR="002B5404">
        <w:rPr>
          <w:rFonts w:ascii="Arial" w:hAnsi="Arial" w:cs="Arial"/>
          <w:sz w:val="24"/>
          <w:szCs w:val="24"/>
        </w:rPr>
        <w:t>zwrócone w wartości nominalnej (przelewem na konto</w:t>
      </w:r>
      <w:r w:rsidR="00871AB7">
        <w:rPr>
          <w:rFonts w:ascii="Arial" w:hAnsi="Arial" w:cs="Arial"/>
          <w:sz w:val="24"/>
          <w:szCs w:val="24"/>
        </w:rPr>
        <w:t xml:space="preserve"> bankowe</w:t>
      </w:r>
      <w:r w:rsidR="002B5404">
        <w:rPr>
          <w:rFonts w:ascii="Arial" w:hAnsi="Arial" w:cs="Arial"/>
          <w:sz w:val="24"/>
          <w:szCs w:val="24"/>
        </w:rPr>
        <w:t>) bezzwłocznie</w:t>
      </w:r>
      <w:r w:rsidR="00871AB7">
        <w:rPr>
          <w:rFonts w:ascii="Arial" w:hAnsi="Arial" w:cs="Arial"/>
          <w:sz w:val="24"/>
          <w:szCs w:val="24"/>
        </w:rPr>
        <w:t xml:space="preserve">, </w:t>
      </w:r>
      <w:r w:rsidR="002B5404">
        <w:rPr>
          <w:rFonts w:ascii="Arial" w:hAnsi="Arial" w:cs="Arial"/>
          <w:sz w:val="24"/>
          <w:szCs w:val="24"/>
        </w:rPr>
        <w:t xml:space="preserve"> jednak nie później niż w terminie 7 dni od dnia zatwierdzenia wyników postępowania przez Zarząd PARR S.A. w formie Zarządzenia Zarządu.  </w:t>
      </w:r>
    </w:p>
    <w:p w:rsidR="002B5404" w:rsidRDefault="002B5404" w:rsidP="002B5404">
      <w:pPr>
        <w:spacing w:after="0"/>
        <w:jc w:val="both"/>
        <w:rPr>
          <w:rFonts w:ascii="Arial" w:hAnsi="Arial" w:cs="Arial"/>
          <w:sz w:val="24"/>
          <w:szCs w:val="24"/>
        </w:rPr>
      </w:pPr>
    </w:p>
    <w:p w:rsidR="002B5404" w:rsidRPr="00BF3F70" w:rsidRDefault="002B5404" w:rsidP="002B5404">
      <w:pPr>
        <w:spacing w:after="0"/>
        <w:jc w:val="both"/>
        <w:rPr>
          <w:rFonts w:ascii="Arial" w:hAnsi="Arial" w:cs="Arial"/>
          <w:sz w:val="24"/>
          <w:szCs w:val="24"/>
        </w:rPr>
      </w:pPr>
      <w:r>
        <w:rPr>
          <w:rFonts w:ascii="Arial" w:hAnsi="Arial" w:cs="Arial"/>
          <w:sz w:val="24"/>
          <w:szCs w:val="24"/>
        </w:rPr>
        <w:t xml:space="preserve">Wadium nie podlega zwrotowi w przypadku, gdy osoba, która przetarg wygrała, uchyli się od zawarcia umowy sprzedaży w terminie </w:t>
      </w:r>
      <w:r w:rsidR="00871AB7">
        <w:rPr>
          <w:rFonts w:ascii="Arial" w:hAnsi="Arial" w:cs="Arial"/>
          <w:sz w:val="24"/>
          <w:szCs w:val="24"/>
        </w:rPr>
        <w:t xml:space="preserve">i miejscu </w:t>
      </w:r>
      <w:r>
        <w:rPr>
          <w:rFonts w:ascii="Arial" w:hAnsi="Arial" w:cs="Arial"/>
          <w:sz w:val="24"/>
          <w:szCs w:val="24"/>
        </w:rPr>
        <w:t xml:space="preserve">wyznaczonym przez PARR S.A., lub też gdy osoba prawna, która do nabycia nieruchomości zobowiązana jest mieć zgodę odpowiedniego organu, do dnia zawarcia umowy sprzedaży nieruchomości nie przedstawi takiej zgody lub gdy Oferent będący cudzoziemcem nie uzyska zezwolenia ministra właściwego do spraw wewnętrznych </w:t>
      </w:r>
      <w:r w:rsidR="001B64C2">
        <w:rPr>
          <w:rFonts w:ascii="Arial" w:hAnsi="Arial" w:cs="Arial"/>
          <w:sz w:val="24"/>
          <w:szCs w:val="24"/>
        </w:rPr>
        <w:t xml:space="preserve">i administracji </w:t>
      </w:r>
      <w:r>
        <w:rPr>
          <w:rFonts w:ascii="Arial" w:hAnsi="Arial" w:cs="Arial"/>
          <w:sz w:val="24"/>
          <w:szCs w:val="24"/>
        </w:rPr>
        <w:t xml:space="preserve">na zakup nieruchomości. </w:t>
      </w:r>
    </w:p>
    <w:p w:rsidR="00B35A24" w:rsidRPr="00BF3F70" w:rsidRDefault="00B35A24" w:rsidP="00B35A24">
      <w:pPr>
        <w:spacing w:after="0"/>
        <w:rPr>
          <w:rFonts w:ascii="Arial" w:hAnsi="Arial" w:cs="Arial"/>
          <w:b/>
          <w:sz w:val="24"/>
          <w:szCs w:val="24"/>
        </w:rPr>
      </w:pPr>
    </w:p>
    <w:p w:rsidR="00B35A24" w:rsidRDefault="00B35A24" w:rsidP="00B35A24">
      <w:pPr>
        <w:spacing w:after="0"/>
        <w:rPr>
          <w:rFonts w:ascii="Arial" w:hAnsi="Arial" w:cs="Arial"/>
          <w:b/>
          <w:sz w:val="24"/>
          <w:szCs w:val="24"/>
        </w:rPr>
      </w:pPr>
    </w:p>
    <w:p w:rsidR="00B35A24" w:rsidRDefault="00B35A24" w:rsidP="00B35A24">
      <w:pPr>
        <w:pStyle w:val="Akapitzlist"/>
        <w:numPr>
          <w:ilvl w:val="0"/>
          <w:numId w:val="3"/>
        </w:numPr>
        <w:spacing w:after="0"/>
        <w:rPr>
          <w:rFonts w:ascii="Arial" w:hAnsi="Arial" w:cs="Arial"/>
          <w:b/>
          <w:sz w:val="24"/>
          <w:szCs w:val="24"/>
        </w:rPr>
      </w:pPr>
      <w:r>
        <w:rPr>
          <w:rFonts w:ascii="Arial" w:hAnsi="Arial" w:cs="Arial"/>
          <w:b/>
          <w:sz w:val="24"/>
          <w:szCs w:val="24"/>
        </w:rPr>
        <w:t xml:space="preserve">Forma udostępniania nieruchomości </w:t>
      </w:r>
    </w:p>
    <w:p w:rsidR="00B35A24" w:rsidRDefault="00B35A24" w:rsidP="00B35A24">
      <w:pPr>
        <w:spacing w:after="0"/>
        <w:rPr>
          <w:rFonts w:ascii="Arial" w:hAnsi="Arial" w:cs="Arial"/>
          <w:b/>
          <w:sz w:val="24"/>
          <w:szCs w:val="24"/>
        </w:rPr>
      </w:pPr>
    </w:p>
    <w:p w:rsidR="00895723" w:rsidRDefault="000E4360" w:rsidP="001B64C2">
      <w:pPr>
        <w:spacing w:after="0"/>
        <w:jc w:val="both"/>
        <w:rPr>
          <w:rFonts w:ascii="Arial" w:hAnsi="Arial" w:cs="Arial"/>
          <w:sz w:val="24"/>
          <w:szCs w:val="24"/>
        </w:rPr>
      </w:pPr>
      <w:r w:rsidRPr="000E4360">
        <w:rPr>
          <w:rFonts w:ascii="Arial" w:hAnsi="Arial" w:cs="Arial"/>
          <w:sz w:val="24"/>
          <w:szCs w:val="24"/>
        </w:rPr>
        <w:t xml:space="preserve">Po rozstrzygnięciu przetargu </w:t>
      </w:r>
      <w:r>
        <w:rPr>
          <w:rFonts w:ascii="Arial" w:hAnsi="Arial" w:cs="Arial"/>
          <w:sz w:val="24"/>
          <w:szCs w:val="24"/>
        </w:rPr>
        <w:t xml:space="preserve">i zatwierdzeniu nabywcy nieruchomości przez Zarząd PARR S.A. oraz Radę Nadzorczą PARR S.A. sprzedający powiadomi pisemnie wyłonionego nabywcę nieruchomości o miejscu i terminie zawarcia notarialnej umowy sprzedaży najpóźniej w terminie 7 dni od daty zamknięcia postępowania. Data zawarcia umowy zostanie wyznaczona nie później niż w terminie 30 dni od daty otwarcia ofert. </w:t>
      </w:r>
    </w:p>
    <w:p w:rsidR="00411CD3" w:rsidRDefault="000E4360" w:rsidP="001B64C2">
      <w:pPr>
        <w:spacing w:after="0"/>
        <w:jc w:val="both"/>
        <w:rPr>
          <w:rFonts w:ascii="Arial" w:hAnsi="Arial" w:cs="Arial"/>
          <w:sz w:val="24"/>
          <w:szCs w:val="24"/>
        </w:rPr>
      </w:pPr>
      <w:r>
        <w:rPr>
          <w:rFonts w:ascii="Arial" w:hAnsi="Arial" w:cs="Arial"/>
          <w:sz w:val="24"/>
          <w:szCs w:val="24"/>
        </w:rPr>
        <w:t xml:space="preserve">Sprzedawca może odstąpić od zawarcia umowy </w:t>
      </w:r>
      <w:r w:rsidR="00411CD3">
        <w:rPr>
          <w:rFonts w:ascii="Arial" w:hAnsi="Arial" w:cs="Arial"/>
          <w:sz w:val="24"/>
          <w:szCs w:val="24"/>
        </w:rPr>
        <w:t>sprzedaży, jeżeli nabywca nieruchomości nie przystąpi – bez usprawiedliwienia – do zawarcia umowy</w:t>
      </w:r>
      <w:r w:rsidR="001B64C2">
        <w:rPr>
          <w:rFonts w:ascii="Arial" w:hAnsi="Arial" w:cs="Arial"/>
          <w:sz w:val="24"/>
          <w:szCs w:val="24"/>
        </w:rPr>
        <w:t xml:space="preserve"> w miejscu i terminie podanym w</w:t>
      </w:r>
      <w:r w:rsidR="00411CD3">
        <w:rPr>
          <w:rFonts w:ascii="Arial" w:hAnsi="Arial" w:cs="Arial"/>
          <w:sz w:val="24"/>
          <w:szCs w:val="24"/>
        </w:rPr>
        <w:t xml:space="preserve"> zawiadomieniu. </w:t>
      </w:r>
    </w:p>
    <w:p w:rsidR="00411CD3" w:rsidRDefault="00411CD3" w:rsidP="001B64C2">
      <w:pPr>
        <w:spacing w:after="0"/>
        <w:jc w:val="both"/>
        <w:rPr>
          <w:rFonts w:ascii="Arial" w:hAnsi="Arial" w:cs="Arial"/>
          <w:sz w:val="24"/>
          <w:szCs w:val="24"/>
        </w:rPr>
      </w:pPr>
      <w:r>
        <w:rPr>
          <w:rFonts w:ascii="Arial" w:hAnsi="Arial" w:cs="Arial"/>
          <w:sz w:val="24"/>
          <w:szCs w:val="24"/>
        </w:rPr>
        <w:t>W przypadku, gdy nabycie nieruchomości uzależnione jest od uzyskania przez nabywcę zezwolenia, o którym mowa w ustawie z dnia 24 marca 1920r. o nabywaniu nieruchomości przez cudzoziemców /tekst j</w:t>
      </w:r>
      <w:r w:rsidR="00A96E7C">
        <w:rPr>
          <w:rFonts w:ascii="Arial" w:hAnsi="Arial" w:cs="Arial"/>
          <w:sz w:val="24"/>
          <w:szCs w:val="24"/>
        </w:rPr>
        <w:t>ednolity: Dz. U. 2017 poz. 2278</w:t>
      </w:r>
      <w:r>
        <w:rPr>
          <w:rFonts w:ascii="Arial" w:hAnsi="Arial" w:cs="Arial"/>
          <w:sz w:val="24"/>
          <w:szCs w:val="24"/>
        </w:rPr>
        <w:t xml:space="preserve">, zawarcie umowy przeniesienia własności nastąpi pod warunkiem uzyskania przez ten podmiot zezwolenia ministra właściwego do spraw wewnętrznych </w:t>
      </w:r>
      <w:r w:rsidR="001B64C2">
        <w:rPr>
          <w:rFonts w:ascii="Arial" w:hAnsi="Arial" w:cs="Arial"/>
          <w:sz w:val="24"/>
          <w:szCs w:val="24"/>
        </w:rPr>
        <w:t xml:space="preserve">i administracji </w:t>
      </w:r>
      <w:r>
        <w:rPr>
          <w:rFonts w:ascii="Arial" w:hAnsi="Arial" w:cs="Arial"/>
          <w:sz w:val="24"/>
          <w:szCs w:val="24"/>
        </w:rPr>
        <w:t xml:space="preserve">na nabycie przedmiotowej nieruchomości. </w:t>
      </w:r>
    </w:p>
    <w:p w:rsidR="00411CD3" w:rsidRDefault="00411CD3" w:rsidP="001B64C2">
      <w:pPr>
        <w:spacing w:after="0"/>
        <w:jc w:val="both"/>
        <w:rPr>
          <w:rFonts w:ascii="Arial" w:hAnsi="Arial" w:cs="Arial"/>
          <w:sz w:val="24"/>
          <w:szCs w:val="24"/>
        </w:rPr>
      </w:pPr>
      <w:r>
        <w:rPr>
          <w:rFonts w:ascii="Arial" w:hAnsi="Arial" w:cs="Arial"/>
          <w:sz w:val="24"/>
          <w:szCs w:val="24"/>
        </w:rPr>
        <w:t>Wszelkie koszty związane z nabyciem nieruchomości, w tym koszt</w:t>
      </w:r>
      <w:r w:rsidR="001B64C2">
        <w:rPr>
          <w:rFonts w:ascii="Arial" w:hAnsi="Arial" w:cs="Arial"/>
          <w:sz w:val="24"/>
          <w:szCs w:val="24"/>
        </w:rPr>
        <w:t>y</w:t>
      </w:r>
      <w:r>
        <w:rPr>
          <w:rFonts w:ascii="Arial" w:hAnsi="Arial" w:cs="Arial"/>
          <w:sz w:val="24"/>
          <w:szCs w:val="24"/>
        </w:rPr>
        <w:t xml:space="preserve"> aktów notarialnych i opłaty sądowe, ponosi nabywca nieruchomości. </w:t>
      </w:r>
    </w:p>
    <w:p w:rsidR="00411CD3" w:rsidRPr="000E4360" w:rsidRDefault="00411CD3" w:rsidP="001B64C2">
      <w:pPr>
        <w:spacing w:after="0"/>
        <w:jc w:val="both"/>
        <w:rPr>
          <w:rFonts w:ascii="Arial" w:hAnsi="Arial" w:cs="Arial"/>
          <w:sz w:val="24"/>
          <w:szCs w:val="24"/>
        </w:rPr>
      </w:pPr>
      <w:r>
        <w:rPr>
          <w:rFonts w:ascii="Arial" w:hAnsi="Arial" w:cs="Arial"/>
          <w:sz w:val="24"/>
          <w:szCs w:val="24"/>
        </w:rPr>
        <w:t xml:space="preserve">Wydanie przedmiotu sprzedaży nabywcy następuje niezwłocznie po zapłaceniu </w:t>
      </w:r>
      <w:r w:rsidR="001B64C2">
        <w:rPr>
          <w:rFonts w:ascii="Arial" w:hAnsi="Arial" w:cs="Arial"/>
          <w:sz w:val="24"/>
          <w:szCs w:val="24"/>
        </w:rPr>
        <w:t xml:space="preserve">całości </w:t>
      </w:r>
      <w:r>
        <w:rPr>
          <w:rFonts w:ascii="Arial" w:hAnsi="Arial" w:cs="Arial"/>
          <w:sz w:val="24"/>
          <w:szCs w:val="24"/>
        </w:rPr>
        <w:t xml:space="preserve">ceny nabycia. </w:t>
      </w:r>
    </w:p>
    <w:p w:rsidR="00B35A24" w:rsidRDefault="00B35A24" w:rsidP="00B35A24">
      <w:pPr>
        <w:spacing w:after="0"/>
        <w:rPr>
          <w:rFonts w:ascii="Arial" w:hAnsi="Arial" w:cs="Arial"/>
          <w:b/>
          <w:sz w:val="24"/>
          <w:szCs w:val="24"/>
        </w:rPr>
      </w:pPr>
    </w:p>
    <w:p w:rsidR="0024346F" w:rsidRDefault="0024346F" w:rsidP="00B35A24">
      <w:pPr>
        <w:spacing w:after="0"/>
        <w:rPr>
          <w:rFonts w:ascii="Arial" w:hAnsi="Arial" w:cs="Arial"/>
          <w:b/>
          <w:sz w:val="24"/>
          <w:szCs w:val="24"/>
        </w:rPr>
      </w:pPr>
    </w:p>
    <w:p w:rsidR="0024346F" w:rsidRDefault="0024346F" w:rsidP="00B35A24">
      <w:pPr>
        <w:spacing w:after="0"/>
        <w:rPr>
          <w:rFonts w:ascii="Arial" w:hAnsi="Arial" w:cs="Arial"/>
          <w:b/>
          <w:sz w:val="24"/>
          <w:szCs w:val="24"/>
        </w:rPr>
      </w:pPr>
    </w:p>
    <w:p w:rsidR="00B35A24" w:rsidRDefault="00B35A24" w:rsidP="00B35A24">
      <w:pPr>
        <w:pStyle w:val="Akapitzlist"/>
        <w:numPr>
          <w:ilvl w:val="0"/>
          <w:numId w:val="3"/>
        </w:numPr>
        <w:spacing w:after="0"/>
        <w:rPr>
          <w:rFonts w:ascii="Arial" w:hAnsi="Arial" w:cs="Arial"/>
          <w:b/>
          <w:sz w:val="24"/>
          <w:szCs w:val="24"/>
        </w:rPr>
      </w:pPr>
      <w:r>
        <w:rPr>
          <w:rFonts w:ascii="Arial" w:hAnsi="Arial" w:cs="Arial"/>
          <w:b/>
          <w:sz w:val="24"/>
          <w:szCs w:val="24"/>
        </w:rPr>
        <w:t xml:space="preserve">Warunki dopuszczenia i udział w przetargu </w:t>
      </w:r>
    </w:p>
    <w:p w:rsidR="00B35A24" w:rsidRDefault="00B35A24" w:rsidP="00411CD3">
      <w:pPr>
        <w:rPr>
          <w:rFonts w:ascii="Arial" w:hAnsi="Arial" w:cs="Arial"/>
          <w:b/>
          <w:sz w:val="24"/>
          <w:szCs w:val="24"/>
        </w:rPr>
      </w:pPr>
    </w:p>
    <w:p w:rsidR="006A1B32" w:rsidRDefault="00411CD3" w:rsidP="006A1B32">
      <w:pPr>
        <w:jc w:val="both"/>
        <w:rPr>
          <w:rFonts w:ascii="Arial" w:hAnsi="Arial" w:cs="Arial"/>
          <w:sz w:val="24"/>
          <w:szCs w:val="24"/>
        </w:rPr>
      </w:pPr>
      <w:r w:rsidRPr="00411CD3">
        <w:rPr>
          <w:rFonts w:ascii="Arial" w:hAnsi="Arial" w:cs="Arial"/>
          <w:sz w:val="24"/>
          <w:szCs w:val="24"/>
        </w:rPr>
        <w:t xml:space="preserve">Postępowanie opisane </w:t>
      </w:r>
      <w:r>
        <w:rPr>
          <w:rFonts w:ascii="Arial" w:hAnsi="Arial" w:cs="Arial"/>
          <w:sz w:val="24"/>
          <w:szCs w:val="24"/>
        </w:rPr>
        <w:t>w niniejszej Specyfikacji przeprow</w:t>
      </w:r>
      <w:r w:rsidR="006A1B32">
        <w:rPr>
          <w:rFonts w:ascii="Arial" w:hAnsi="Arial" w:cs="Arial"/>
          <w:sz w:val="24"/>
          <w:szCs w:val="24"/>
        </w:rPr>
        <w:t xml:space="preserve">adzane jest w formie przetargu pisemnego nieograniczonego. </w:t>
      </w:r>
    </w:p>
    <w:p w:rsidR="006A1B32" w:rsidRDefault="006A1B32" w:rsidP="00411CD3">
      <w:pPr>
        <w:rPr>
          <w:rFonts w:ascii="Arial" w:hAnsi="Arial" w:cs="Arial"/>
          <w:sz w:val="24"/>
          <w:szCs w:val="24"/>
          <w:u w:val="single"/>
        </w:rPr>
      </w:pPr>
      <w:r w:rsidRPr="006A1B32">
        <w:rPr>
          <w:rFonts w:ascii="Arial" w:hAnsi="Arial" w:cs="Arial"/>
          <w:sz w:val="24"/>
          <w:szCs w:val="24"/>
          <w:u w:val="single"/>
        </w:rPr>
        <w:t>Warunkiem przystąpienia do przetargu jest:</w:t>
      </w:r>
    </w:p>
    <w:p w:rsidR="006A1B32" w:rsidRDefault="006A1B32" w:rsidP="006A1B32">
      <w:pPr>
        <w:pStyle w:val="Akapitzlist"/>
        <w:numPr>
          <w:ilvl w:val="0"/>
          <w:numId w:val="5"/>
        </w:numPr>
        <w:rPr>
          <w:rFonts w:ascii="Arial" w:hAnsi="Arial" w:cs="Arial"/>
          <w:sz w:val="24"/>
          <w:szCs w:val="24"/>
        </w:rPr>
      </w:pPr>
      <w:r w:rsidRPr="006A1B32">
        <w:rPr>
          <w:rFonts w:ascii="Arial" w:hAnsi="Arial" w:cs="Arial"/>
          <w:sz w:val="24"/>
          <w:szCs w:val="24"/>
        </w:rPr>
        <w:t xml:space="preserve">Wniesienie wadium </w:t>
      </w:r>
      <w:r>
        <w:rPr>
          <w:rFonts w:ascii="Arial" w:hAnsi="Arial" w:cs="Arial"/>
          <w:sz w:val="24"/>
          <w:szCs w:val="24"/>
        </w:rPr>
        <w:t xml:space="preserve">zgodnie </w:t>
      </w:r>
      <w:r w:rsidR="00412413">
        <w:rPr>
          <w:rFonts w:ascii="Arial" w:hAnsi="Arial" w:cs="Arial"/>
          <w:sz w:val="24"/>
          <w:szCs w:val="24"/>
        </w:rPr>
        <w:t>z pkt 4 niniejszej Specyfikacji.</w:t>
      </w:r>
    </w:p>
    <w:p w:rsidR="006A1B32" w:rsidRDefault="006A1B32" w:rsidP="00A96E7C">
      <w:pPr>
        <w:pStyle w:val="Akapitzlist"/>
        <w:numPr>
          <w:ilvl w:val="0"/>
          <w:numId w:val="5"/>
        </w:numPr>
        <w:jc w:val="both"/>
        <w:rPr>
          <w:rFonts w:ascii="Arial" w:hAnsi="Arial" w:cs="Arial"/>
          <w:sz w:val="24"/>
          <w:szCs w:val="24"/>
        </w:rPr>
      </w:pPr>
      <w:r>
        <w:rPr>
          <w:rFonts w:ascii="Arial" w:hAnsi="Arial" w:cs="Arial"/>
          <w:sz w:val="24"/>
          <w:szCs w:val="24"/>
        </w:rPr>
        <w:t xml:space="preserve">Złożenie oferty sporządzonej według wzoru stanowiącej załącznik nr 1 </w:t>
      </w:r>
      <w:r w:rsidR="00A96E7C">
        <w:rPr>
          <w:rFonts w:ascii="Arial" w:hAnsi="Arial" w:cs="Arial"/>
          <w:sz w:val="24"/>
          <w:szCs w:val="24"/>
        </w:rPr>
        <w:br/>
      </w:r>
      <w:r>
        <w:rPr>
          <w:rFonts w:ascii="Arial" w:hAnsi="Arial" w:cs="Arial"/>
          <w:sz w:val="24"/>
          <w:szCs w:val="24"/>
        </w:rPr>
        <w:t xml:space="preserve">do niniejszej Specyfikacji wraz ze wszystkimi dokumentami, jakie mają dostarczyć </w:t>
      </w:r>
      <w:r w:rsidR="00096557">
        <w:rPr>
          <w:rFonts w:ascii="Arial" w:hAnsi="Arial" w:cs="Arial"/>
          <w:sz w:val="24"/>
          <w:szCs w:val="24"/>
        </w:rPr>
        <w:t xml:space="preserve">oferenci w terminie do dnia </w:t>
      </w:r>
      <w:r w:rsidR="00096557" w:rsidRPr="00096557">
        <w:rPr>
          <w:rFonts w:ascii="Arial" w:hAnsi="Arial" w:cs="Arial"/>
          <w:b/>
          <w:sz w:val="24"/>
          <w:szCs w:val="24"/>
        </w:rPr>
        <w:t>19</w:t>
      </w:r>
      <w:r w:rsidR="00A96E7C" w:rsidRPr="00096557">
        <w:rPr>
          <w:rFonts w:ascii="Arial" w:hAnsi="Arial" w:cs="Arial"/>
          <w:b/>
          <w:sz w:val="24"/>
          <w:szCs w:val="24"/>
        </w:rPr>
        <w:t xml:space="preserve"> grudnia 2019r.</w:t>
      </w:r>
      <w:r w:rsidR="00A96E7C">
        <w:rPr>
          <w:rFonts w:ascii="Arial" w:hAnsi="Arial" w:cs="Arial"/>
          <w:sz w:val="24"/>
          <w:szCs w:val="24"/>
        </w:rPr>
        <w:t xml:space="preserve"> do godz. </w:t>
      </w:r>
      <w:r w:rsidR="00A96E7C" w:rsidRPr="00096557">
        <w:rPr>
          <w:rFonts w:ascii="Arial" w:hAnsi="Arial" w:cs="Arial"/>
          <w:b/>
          <w:sz w:val="24"/>
          <w:szCs w:val="24"/>
        </w:rPr>
        <w:t>15.00</w:t>
      </w:r>
      <w:r w:rsidR="00A96E7C">
        <w:rPr>
          <w:rFonts w:ascii="Arial" w:hAnsi="Arial" w:cs="Arial"/>
          <w:sz w:val="24"/>
          <w:szCs w:val="24"/>
        </w:rPr>
        <w:t xml:space="preserve"> </w:t>
      </w:r>
      <w:r>
        <w:rPr>
          <w:rFonts w:ascii="Arial" w:hAnsi="Arial" w:cs="Arial"/>
          <w:sz w:val="24"/>
          <w:szCs w:val="24"/>
        </w:rPr>
        <w:t xml:space="preserve"> </w:t>
      </w:r>
      <w:r w:rsidR="00A96E7C">
        <w:rPr>
          <w:rFonts w:ascii="Arial" w:hAnsi="Arial" w:cs="Arial"/>
          <w:sz w:val="24"/>
          <w:szCs w:val="24"/>
        </w:rPr>
        <w:br/>
      </w:r>
      <w:r>
        <w:rPr>
          <w:rFonts w:ascii="Arial" w:hAnsi="Arial" w:cs="Arial"/>
          <w:sz w:val="24"/>
          <w:szCs w:val="24"/>
        </w:rPr>
        <w:t xml:space="preserve">w dwóch egzemplarzach w trwale zamkniętej i opieczętowanej kopercie opatrzonej </w:t>
      </w:r>
      <w:r w:rsidR="001B64C2">
        <w:rPr>
          <w:rFonts w:ascii="Arial" w:hAnsi="Arial" w:cs="Arial"/>
          <w:sz w:val="24"/>
          <w:szCs w:val="24"/>
        </w:rPr>
        <w:t xml:space="preserve">nazwą i adresem oferenta oraz </w:t>
      </w:r>
      <w:r>
        <w:rPr>
          <w:rFonts w:ascii="Arial" w:hAnsi="Arial" w:cs="Arial"/>
          <w:sz w:val="24"/>
          <w:szCs w:val="24"/>
        </w:rPr>
        <w:t xml:space="preserve">oznaczeniem przetargu na jaki została złożona. </w:t>
      </w:r>
    </w:p>
    <w:p w:rsidR="00412413" w:rsidRDefault="00412413" w:rsidP="00412413">
      <w:pPr>
        <w:rPr>
          <w:rFonts w:ascii="Arial" w:hAnsi="Arial" w:cs="Arial"/>
          <w:sz w:val="24"/>
          <w:szCs w:val="24"/>
        </w:rPr>
      </w:pPr>
      <w:r>
        <w:rPr>
          <w:rFonts w:ascii="Arial" w:hAnsi="Arial" w:cs="Arial"/>
          <w:sz w:val="24"/>
          <w:szCs w:val="24"/>
        </w:rPr>
        <w:t>Do oferty należy dołączyć:</w:t>
      </w:r>
    </w:p>
    <w:p w:rsidR="00412413" w:rsidRDefault="00412413" w:rsidP="00A96E7C">
      <w:pPr>
        <w:pStyle w:val="Akapitzlist"/>
        <w:numPr>
          <w:ilvl w:val="0"/>
          <w:numId w:val="6"/>
        </w:numPr>
        <w:jc w:val="both"/>
        <w:rPr>
          <w:rFonts w:ascii="Arial" w:hAnsi="Arial" w:cs="Arial"/>
          <w:sz w:val="24"/>
          <w:szCs w:val="24"/>
        </w:rPr>
      </w:pPr>
      <w:r>
        <w:rPr>
          <w:rFonts w:ascii="Arial" w:hAnsi="Arial" w:cs="Arial"/>
          <w:sz w:val="24"/>
          <w:szCs w:val="24"/>
        </w:rPr>
        <w:t>Potwierdzenie wpłacenia wadium.</w:t>
      </w:r>
    </w:p>
    <w:p w:rsidR="00412413" w:rsidRDefault="00412413" w:rsidP="00A96E7C">
      <w:pPr>
        <w:pStyle w:val="Akapitzlist"/>
        <w:numPr>
          <w:ilvl w:val="0"/>
          <w:numId w:val="6"/>
        </w:numPr>
        <w:jc w:val="both"/>
        <w:rPr>
          <w:rFonts w:ascii="Arial" w:hAnsi="Arial" w:cs="Arial"/>
          <w:sz w:val="24"/>
          <w:szCs w:val="24"/>
        </w:rPr>
      </w:pPr>
      <w:r>
        <w:rPr>
          <w:rFonts w:ascii="Arial" w:hAnsi="Arial" w:cs="Arial"/>
          <w:sz w:val="24"/>
          <w:szCs w:val="24"/>
        </w:rPr>
        <w:t xml:space="preserve">Aktualny odpis z Centralnej Informacji Krajowego Rejestru Sądowego lub aktualny odpis z Centralnej Ewidencji i Informacji o Działalności Gospodarczej. </w:t>
      </w:r>
    </w:p>
    <w:p w:rsidR="00412413" w:rsidRDefault="00412413" w:rsidP="00A96E7C">
      <w:pPr>
        <w:pStyle w:val="Akapitzlist"/>
        <w:numPr>
          <w:ilvl w:val="0"/>
          <w:numId w:val="6"/>
        </w:numPr>
        <w:jc w:val="both"/>
        <w:rPr>
          <w:rFonts w:ascii="Arial" w:hAnsi="Arial" w:cs="Arial"/>
          <w:sz w:val="24"/>
          <w:szCs w:val="24"/>
        </w:rPr>
      </w:pPr>
      <w:r>
        <w:rPr>
          <w:rFonts w:ascii="Arial" w:hAnsi="Arial" w:cs="Arial"/>
          <w:sz w:val="24"/>
          <w:szCs w:val="24"/>
        </w:rPr>
        <w:t xml:space="preserve">Oświadczenie o zapoznaniu się z przedmiotem przetargu, w tym jej stanem prawnym i faktycznym oraz o przyjęciu bez zastrzeżeń warunków przetargu </w:t>
      </w:r>
      <w:r w:rsidR="00A96E7C">
        <w:rPr>
          <w:rFonts w:ascii="Arial" w:hAnsi="Arial" w:cs="Arial"/>
          <w:sz w:val="24"/>
          <w:szCs w:val="24"/>
        </w:rPr>
        <w:br/>
      </w:r>
      <w:r>
        <w:rPr>
          <w:rFonts w:ascii="Arial" w:hAnsi="Arial" w:cs="Arial"/>
          <w:sz w:val="24"/>
          <w:szCs w:val="24"/>
        </w:rPr>
        <w:t xml:space="preserve">i zapoznaniu się z treścią ogłoszenia o przetargu/ wzór oświadczenia stanowi załącznik nr 2 do niniejszej Specyfikacji. </w:t>
      </w:r>
    </w:p>
    <w:p w:rsidR="00412413" w:rsidRDefault="00412413" w:rsidP="00A96E7C">
      <w:pPr>
        <w:pStyle w:val="Akapitzlist"/>
        <w:numPr>
          <w:ilvl w:val="0"/>
          <w:numId w:val="6"/>
        </w:numPr>
        <w:jc w:val="both"/>
        <w:rPr>
          <w:rFonts w:ascii="Arial" w:hAnsi="Arial" w:cs="Arial"/>
          <w:sz w:val="24"/>
          <w:szCs w:val="24"/>
        </w:rPr>
      </w:pPr>
      <w:r>
        <w:rPr>
          <w:rFonts w:ascii="Arial" w:hAnsi="Arial" w:cs="Arial"/>
          <w:sz w:val="24"/>
          <w:szCs w:val="24"/>
        </w:rPr>
        <w:t xml:space="preserve">Pełnomocnictwo notarialne upoważniające pełnomocników do przystąpienia do przetargu na oznaczoną nieruchomość wraz z potwierdzeniem wniesienia opłaty skarbowej za pełnomocnictwo </w:t>
      </w:r>
      <w:r w:rsidR="00B87247">
        <w:rPr>
          <w:rFonts w:ascii="Arial" w:hAnsi="Arial" w:cs="Arial"/>
          <w:sz w:val="24"/>
          <w:szCs w:val="24"/>
        </w:rPr>
        <w:t>w przypadku</w:t>
      </w:r>
      <w:r w:rsidR="001217D1">
        <w:rPr>
          <w:rFonts w:ascii="Arial" w:hAnsi="Arial" w:cs="Arial"/>
          <w:sz w:val="24"/>
          <w:szCs w:val="24"/>
        </w:rPr>
        <w:t xml:space="preserve">, gdy osoby prawne lub fizyczne działają przez pełnomocników. </w:t>
      </w:r>
    </w:p>
    <w:p w:rsidR="001217D1" w:rsidRPr="001217D1" w:rsidRDefault="001217D1" w:rsidP="001217D1">
      <w:pPr>
        <w:ind w:left="360"/>
        <w:jc w:val="both"/>
        <w:rPr>
          <w:rFonts w:ascii="Arial" w:hAnsi="Arial" w:cs="Arial"/>
          <w:sz w:val="24"/>
          <w:szCs w:val="24"/>
        </w:rPr>
      </w:pPr>
      <w:r>
        <w:rPr>
          <w:rFonts w:ascii="Arial" w:hAnsi="Arial" w:cs="Arial"/>
          <w:sz w:val="24"/>
          <w:szCs w:val="24"/>
        </w:rPr>
        <w:t xml:space="preserve">Oferta wraz z załącznikami winna być przygotowana w dwóch egzemplarzach w formie pisemnej w języku polskim oraz podpisana przez upoważnionego przedstawiciela oferenta. Upoważnienie do podpisania oferty winno być dołączone do oferty, o ile nie wynika z innych dokumentów załączonych przez oferenta. </w:t>
      </w:r>
    </w:p>
    <w:p w:rsidR="00411CD3" w:rsidRPr="001217D1" w:rsidRDefault="00411CD3" w:rsidP="001217D1">
      <w:pPr>
        <w:jc w:val="both"/>
        <w:rPr>
          <w:rFonts w:ascii="Arial" w:hAnsi="Arial" w:cs="Arial"/>
          <w:sz w:val="24"/>
          <w:szCs w:val="24"/>
          <w:u w:val="single"/>
        </w:rPr>
      </w:pPr>
      <w:r w:rsidRPr="001217D1">
        <w:rPr>
          <w:rFonts w:ascii="Arial" w:hAnsi="Arial" w:cs="Arial"/>
          <w:sz w:val="24"/>
          <w:szCs w:val="24"/>
          <w:u w:val="single"/>
        </w:rPr>
        <w:t xml:space="preserve"> </w:t>
      </w:r>
      <w:r w:rsidR="001217D1" w:rsidRPr="001217D1">
        <w:rPr>
          <w:rFonts w:ascii="Arial" w:hAnsi="Arial" w:cs="Arial"/>
          <w:sz w:val="24"/>
          <w:szCs w:val="24"/>
          <w:u w:val="single"/>
        </w:rPr>
        <w:t>Warunkiem rozpa</w:t>
      </w:r>
      <w:r w:rsidR="001B64C2">
        <w:rPr>
          <w:rFonts w:ascii="Arial" w:hAnsi="Arial" w:cs="Arial"/>
          <w:sz w:val="24"/>
          <w:szCs w:val="24"/>
          <w:u w:val="single"/>
        </w:rPr>
        <w:t>trzenia oferty jest jej złożenie wraz</w:t>
      </w:r>
      <w:r w:rsidR="001217D1" w:rsidRPr="001217D1">
        <w:rPr>
          <w:rFonts w:ascii="Arial" w:hAnsi="Arial" w:cs="Arial"/>
          <w:sz w:val="24"/>
          <w:szCs w:val="24"/>
          <w:u w:val="single"/>
        </w:rPr>
        <w:t xml:space="preserve"> z kompletem wymaganych załączników. </w:t>
      </w:r>
    </w:p>
    <w:p w:rsidR="00B35A24" w:rsidRDefault="00B35A24" w:rsidP="00B35A24">
      <w:pPr>
        <w:pStyle w:val="Akapitzlist"/>
        <w:rPr>
          <w:rFonts w:ascii="Arial" w:hAnsi="Arial" w:cs="Arial"/>
          <w:b/>
          <w:sz w:val="24"/>
          <w:szCs w:val="24"/>
        </w:rPr>
      </w:pPr>
    </w:p>
    <w:p w:rsidR="00B35A24" w:rsidRDefault="00B35A24" w:rsidP="00B35A24">
      <w:pPr>
        <w:pStyle w:val="Akapitzlist"/>
        <w:numPr>
          <w:ilvl w:val="0"/>
          <w:numId w:val="3"/>
        </w:numPr>
        <w:rPr>
          <w:rFonts w:ascii="Arial" w:hAnsi="Arial" w:cs="Arial"/>
          <w:b/>
          <w:sz w:val="24"/>
          <w:szCs w:val="24"/>
        </w:rPr>
      </w:pPr>
      <w:r>
        <w:rPr>
          <w:rFonts w:ascii="Arial" w:hAnsi="Arial" w:cs="Arial"/>
          <w:b/>
          <w:sz w:val="24"/>
          <w:szCs w:val="24"/>
        </w:rPr>
        <w:t>Kryteria oceny ofert</w:t>
      </w:r>
    </w:p>
    <w:p w:rsidR="00B35A24" w:rsidRPr="001217D1" w:rsidRDefault="001217D1" w:rsidP="001217D1">
      <w:pPr>
        <w:rPr>
          <w:rFonts w:ascii="Arial" w:hAnsi="Arial" w:cs="Arial"/>
          <w:sz w:val="24"/>
          <w:szCs w:val="24"/>
        </w:rPr>
      </w:pPr>
      <w:r w:rsidRPr="001217D1">
        <w:rPr>
          <w:rFonts w:ascii="Arial" w:hAnsi="Arial" w:cs="Arial"/>
          <w:sz w:val="24"/>
          <w:szCs w:val="24"/>
        </w:rPr>
        <w:t xml:space="preserve">Jedynym kryterium wyłonienia </w:t>
      </w:r>
      <w:r w:rsidR="001B64C2">
        <w:rPr>
          <w:rFonts w:ascii="Arial" w:hAnsi="Arial" w:cs="Arial"/>
          <w:sz w:val="24"/>
          <w:szCs w:val="24"/>
        </w:rPr>
        <w:t>nabywcy nieruchomości będzie</w:t>
      </w:r>
      <w:r>
        <w:rPr>
          <w:rFonts w:ascii="Arial" w:hAnsi="Arial" w:cs="Arial"/>
          <w:sz w:val="24"/>
          <w:szCs w:val="24"/>
        </w:rPr>
        <w:t xml:space="preserve"> zaoferowana cena. </w:t>
      </w:r>
    </w:p>
    <w:p w:rsidR="00B35A24" w:rsidRDefault="00B35A24" w:rsidP="00B35A24">
      <w:pPr>
        <w:pStyle w:val="Akapitzlist"/>
        <w:numPr>
          <w:ilvl w:val="0"/>
          <w:numId w:val="3"/>
        </w:numPr>
        <w:rPr>
          <w:rFonts w:ascii="Arial" w:hAnsi="Arial" w:cs="Arial"/>
          <w:b/>
          <w:sz w:val="24"/>
          <w:szCs w:val="24"/>
        </w:rPr>
      </w:pPr>
      <w:r>
        <w:rPr>
          <w:rFonts w:ascii="Arial" w:hAnsi="Arial" w:cs="Arial"/>
          <w:b/>
          <w:sz w:val="24"/>
          <w:szCs w:val="24"/>
        </w:rPr>
        <w:t xml:space="preserve">Szczegółowy tryb prowadzenia postępowania przetargowego </w:t>
      </w:r>
    </w:p>
    <w:p w:rsidR="001217D1" w:rsidRDefault="00834392" w:rsidP="00DA5056">
      <w:pPr>
        <w:jc w:val="both"/>
        <w:rPr>
          <w:rFonts w:ascii="Arial" w:hAnsi="Arial" w:cs="Arial"/>
          <w:sz w:val="24"/>
          <w:szCs w:val="24"/>
        </w:rPr>
      </w:pPr>
      <w:r w:rsidRPr="00834392">
        <w:rPr>
          <w:rFonts w:ascii="Arial" w:hAnsi="Arial" w:cs="Arial"/>
          <w:sz w:val="24"/>
          <w:szCs w:val="24"/>
        </w:rPr>
        <w:t>Otwarcie ofert odbędzie się w siedzibie Pomorskiej Ag</w:t>
      </w:r>
      <w:r>
        <w:rPr>
          <w:rFonts w:ascii="Arial" w:hAnsi="Arial" w:cs="Arial"/>
          <w:sz w:val="24"/>
          <w:szCs w:val="24"/>
        </w:rPr>
        <w:t>encji Rozwoju Regionalnego S.A., przy ul. Obrońców Wybrzeża 2</w:t>
      </w:r>
      <w:r w:rsidR="00096557">
        <w:rPr>
          <w:rFonts w:ascii="Arial" w:hAnsi="Arial" w:cs="Arial"/>
          <w:sz w:val="24"/>
          <w:szCs w:val="24"/>
        </w:rPr>
        <w:t xml:space="preserve"> w sali nr 307 w dniu </w:t>
      </w:r>
      <w:r w:rsidR="00096557" w:rsidRPr="006B58F8">
        <w:rPr>
          <w:rFonts w:ascii="Arial" w:hAnsi="Arial" w:cs="Arial"/>
          <w:b/>
          <w:sz w:val="24"/>
          <w:szCs w:val="24"/>
        </w:rPr>
        <w:t>20</w:t>
      </w:r>
      <w:r w:rsidR="00DA5056" w:rsidRPr="006B58F8">
        <w:rPr>
          <w:rFonts w:ascii="Arial" w:hAnsi="Arial" w:cs="Arial"/>
          <w:b/>
          <w:sz w:val="24"/>
          <w:szCs w:val="24"/>
        </w:rPr>
        <w:t xml:space="preserve"> grudnia 2019r.</w:t>
      </w:r>
      <w:r w:rsidR="00DA5056">
        <w:rPr>
          <w:rFonts w:ascii="Arial" w:hAnsi="Arial" w:cs="Arial"/>
          <w:sz w:val="24"/>
          <w:szCs w:val="24"/>
        </w:rPr>
        <w:t xml:space="preserve"> </w:t>
      </w:r>
      <w:r w:rsidR="00A96E7C">
        <w:rPr>
          <w:rFonts w:ascii="Arial" w:hAnsi="Arial" w:cs="Arial"/>
          <w:sz w:val="24"/>
          <w:szCs w:val="24"/>
        </w:rPr>
        <w:br/>
      </w:r>
      <w:r w:rsidR="00DA5056">
        <w:rPr>
          <w:rFonts w:ascii="Arial" w:hAnsi="Arial" w:cs="Arial"/>
          <w:sz w:val="24"/>
          <w:szCs w:val="24"/>
        </w:rPr>
        <w:t xml:space="preserve">w następujących godzinach: </w:t>
      </w:r>
      <w:r w:rsidR="00DA5056" w:rsidRPr="00DA5056">
        <w:rPr>
          <w:rFonts w:ascii="Arial" w:hAnsi="Arial" w:cs="Arial"/>
          <w:sz w:val="24"/>
          <w:szCs w:val="24"/>
        </w:rPr>
        <w:t xml:space="preserve">działka nr 7/12 - godz. 9.00, działka nr 7/14 – godz. 9.30, działka nr 7/15- godz. 10.00, działka nr 7/52 – godz. 10.30, działki nr 7/72 i nr 7/79 – godz. 11.00, działka nr 7/83 – godz. </w:t>
      </w:r>
      <w:bookmarkStart w:id="0" w:name="_GoBack"/>
      <w:bookmarkEnd w:id="0"/>
      <w:r w:rsidR="00DA5056" w:rsidRPr="00DA5056">
        <w:rPr>
          <w:rFonts w:ascii="Arial" w:hAnsi="Arial" w:cs="Arial"/>
          <w:sz w:val="24"/>
          <w:szCs w:val="24"/>
        </w:rPr>
        <w:t xml:space="preserve">11.30. </w:t>
      </w:r>
      <w:r w:rsidR="00DA5056">
        <w:rPr>
          <w:rFonts w:ascii="Arial" w:hAnsi="Arial" w:cs="Arial"/>
          <w:sz w:val="24"/>
          <w:szCs w:val="24"/>
        </w:rPr>
        <w:t xml:space="preserve"> </w:t>
      </w:r>
    </w:p>
    <w:p w:rsidR="00DA5056" w:rsidRDefault="00DA5056" w:rsidP="00DA5056">
      <w:pPr>
        <w:jc w:val="both"/>
        <w:rPr>
          <w:rFonts w:ascii="Arial" w:hAnsi="Arial" w:cs="Arial"/>
          <w:sz w:val="24"/>
          <w:szCs w:val="24"/>
        </w:rPr>
      </w:pPr>
      <w:r>
        <w:rPr>
          <w:rFonts w:ascii="Arial" w:hAnsi="Arial" w:cs="Arial"/>
          <w:sz w:val="24"/>
          <w:szCs w:val="24"/>
        </w:rPr>
        <w:t xml:space="preserve">Przetarg prowadzi w siedzibie PARR S.A. Komisja Przetargowa, powołana Zarządzeniem Zarządu </w:t>
      </w:r>
      <w:r w:rsidR="00C520F1">
        <w:rPr>
          <w:rFonts w:ascii="Arial" w:hAnsi="Arial" w:cs="Arial"/>
          <w:sz w:val="24"/>
          <w:szCs w:val="24"/>
        </w:rPr>
        <w:t xml:space="preserve">PARR S.A. </w:t>
      </w:r>
    </w:p>
    <w:p w:rsidR="00C520F1" w:rsidRDefault="00C520F1" w:rsidP="00DA5056">
      <w:pPr>
        <w:jc w:val="both"/>
        <w:rPr>
          <w:rFonts w:ascii="Arial" w:hAnsi="Arial" w:cs="Arial"/>
          <w:sz w:val="24"/>
          <w:szCs w:val="24"/>
        </w:rPr>
      </w:pPr>
      <w:r>
        <w:rPr>
          <w:rFonts w:ascii="Arial" w:hAnsi="Arial" w:cs="Arial"/>
          <w:sz w:val="24"/>
          <w:szCs w:val="24"/>
        </w:rPr>
        <w:t>Przetarg składa się z dwóch części: jawnej i niejawnej.</w:t>
      </w:r>
    </w:p>
    <w:p w:rsidR="00C520F1" w:rsidRPr="00B41683" w:rsidRDefault="00C520F1" w:rsidP="00C520F1">
      <w:pPr>
        <w:pStyle w:val="Akapitzlist"/>
        <w:numPr>
          <w:ilvl w:val="0"/>
          <w:numId w:val="7"/>
        </w:numPr>
        <w:jc w:val="both"/>
        <w:rPr>
          <w:rFonts w:ascii="Arial" w:hAnsi="Arial" w:cs="Arial"/>
          <w:sz w:val="24"/>
          <w:szCs w:val="24"/>
          <w:u w:val="single"/>
        </w:rPr>
      </w:pPr>
      <w:r w:rsidRPr="00B41683">
        <w:rPr>
          <w:rFonts w:ascii="Arial" w:hAnsi="Arial" w:cs="Arial"/>
          <w:sz w:val="24"/>
          <w:szCs w:val="24"/>
          <w:u w:val="single"/>
        </w:rPr>
        <w:t>Część jawna przetargu (w obecności Oferenta):</w:t>
      </w:r>
    </w:p>
    <w:p w:rsidR="00C520F1" w:rsidRDefault="00C520F1" w:rsidP="00C520F1">
      <w:pPr>
        <w:ind w:left="360"/>
        <w:jc w:val="both"/>
        <w:rPr>
          <w:rFonts w:ascii="Arial" w:hAnsi="Arial" w:cs="Arial"/>
          <w:sz w:val="24"/>
          <w:szCs w:val="24"/>
        </w:rPr>
      </w:pPr>
      <w:r>
        <w:rPr>
          <w:rFonts w:ascii="Arial" w:hAnsi="Arial" w:cs="Arial"/>
          <w:sz w:val="24"/>
          <w:szCs w:val="24"/>
        </w:rPr>
        <w:t>Komisja Przetargowa:</w:t>
      </w:r>
    </w:p>
    <w:p w:rsidR="00C520F1" w:rsidRDefault="00C520F1" w:rsidP="00C520F1">
      <w:pPr>
        <w:ind w:left="360"/>
        <w:jc w:val="both"/>
        <w:rPr>
          <w:rFonts w:ascii="Arial" w:hAnsi="Arial" w:cs="Arial"/>
          <w:sz w:val="24"/>
          <w:szCs w:val="24"/>
        </w:rPr>
      </w:pPr>
      <w:r>
        <w:rPr>
          <w:rFonts w:ascii="Arial" w:hAnsi="Arial" w:cs="Arial"/>
          <w:sz w:val="24"/>
          <w:szCs w:val="24"/>
        </w:rPr>
        <w:t xml:space="preserve">- sprawdza </w:t>
      </w:r>
      <w:r w:rsidR="00BE5552">
        <w:rPr>
          <w:rFonts w:ascii="Arial" w:hAnsi="Arial" w:cs="Arial"/>
          <w:sz w:val="24"/>
          <w:szCs w:val="24"/>
        </w:rPr>
        <w:t>prawidłowość ogłoszenia o przetargu oraz liczbę otrzymanych ofert,</w:t>
      </w:r>
    </w:p>
    <w:p w:rsidR="00BE5552" w:rsidRDefault="00BE5552" w:rsidP="00C520F1">
      <w:pPr>
        <w:ind w:left="360"/>
        <w:jc w:val="both"/>
        <w:rPr>
          <w:rFonts w:ascii="Arial" w:hAnsi="Arial" w:cs="Arial"/>
          <w:sz w:val="24"/>
          <w:szCs w:val="24"/>
        </w:rPr>
      </w:pPr>
      <w:r>
        <w:rPr>
          <w:rFonts w:ascii="Arial" w:hAnsi="Arial" w:cs="Arial"/>
          <w:sz w:val="24"/>
          <w:szCs w:val="24"/>
        </w:rPr>
        <w:t>- otwiera koperty z ofertami i kwalifikuje je do części niejawnej przetargu,</w:t>
      </w:r>
    </w:p>
    <w:p w:rsidR="00BE5552" w:rsidRDefault="00BE5552" w:rsidP="00C520F1">
      <w:pPr>
        <w:ind w:left="360"/>
        <w:jc w:val="both"/>
        <w:rPr>
          <w:rFonts w:ascii="Arial" w:hAnsi="Arial" w:cs="Arial"/>
          <w:sz w:val="24"/>
          <w:szCs w:val="24"/>
        </w:rPr>
      </w:pPr>
      <w:r>
        <w:rPr>
          <w:rFonts w:ascii="Arial" w:hAnsi="Arial" w:cs="Arial"/>
          <w:sz w:val="24"/>
          <w:szCs w:val="24"/>
        </w:rPr>
        <w:t>- otwarcie kopert następuje w obecności Oferentów, jednak nieobecność Oferenta nie dyskwalifikuje oferty,</w:t>
      </w:r>
    </w:p>
    <w:p w:rsidR="00BE5552" w:rsidRDefault="00BE5552" w:rsidP="00B41683">
      <w:pPr>
        <w:ind w:left="360"/>
        <w:jc w:val="both"/>
        <w:rPr>
          <w:rFonts w:ascii="Arial" w:hAnsi="Arial" w:cs="Arial"/>
          <w:sz w:val="24"/>
          <w:szCs w:val="24"/>
        </w:rPr>
      </w:pPr>
      <w:r>
        <w:rPr>
          <w:rFonts w:ascii="Arial" w:hAnsi="Arial" w:cs="Arial"/>
          <w:sz w:val="24"/>
          <w:szCs w:val="24"/>
        </w:rPr>
        <w:t xml:space="preserve">- przyjmuje do protokołu oświadczenia i wyjaśnienia </w:t>
      </w:r>
      <w:r w:rsidR="00B41683">
        <w:rPr>
          <w:rFonts w:ascii="Arial" w:hAnsi="Arial" w:cs="Arial"/>
          <w:sz w:val="24"/>
          <w:szCs w:val="24"/>
        </w:rPr>
        <w:t>zgłoszone przez Oferentów.</w:t>
      </w:r>
    </w:p>
    <w:p w:rsidR="00BE5552" w:rsidRDefault="00BE5552" w:rsidP="00C520F1">
      <w:pPr>
        <w:ind w:left="360"/>
        <w:jc w:val="both"/>
        <w:rPr>
          <w:rFonts w:ascii="Arial" w:hAnsi="Arial" w:cs="Arial"/>
          <w:sz w:val="24"/>
          <w:szCs w:val="24"/>
        </w:rPr>
      </w:pPr>
      <w:r>
        <w:rPr>
          <w:rFonts w:ascii="Arial" w:hAnsi="Arial" w:cs="Arial"/>
          <w:sz w:val="24"/>
          <w:szCs w:val="24"/>
        </w:rPr>
        <w:t xml:space="preserve">Przetarg jest ważny, jeśli wpłynie przynajmniej </w:t>
      </w:r>
      <w:r w:rsidR="00B41683">
        <w:rPr>
          <w:rFonts w:ascii="Arial" w:hAnsi="Arial" w:cs="Arial"/>
          <w:sz w:val="24"/>
          <w:szCs w:val="24"/>
        </w:rPr>
        <w:t xml:space="preserve">jedna oferta spełniająca warunki podane w ogłoszeniu i w Specyfikacji Istotnych Warunków Przetargu. </w:t>
      </w:r>
    </w:p>
    <w:p w:rsidR="00B41683" w:rsidRDefault="00B41683" w:rsidP="00C520F1">
      <w:pPr>
        <w:ind w:left="360"/>
        <w:jc w:val="both"/>
        <w:rPr>
          <w:rFonts w:ascii="Arial" w:hAnsi="Arial" w:cs="Arial"/>
          <w:sz w:val="24"/>
          <w:szCs w:val="24"/>
        </w:rPr>
      </w:pPr>
      <w:r>
        <w:rPr>
          <w:rFonts w:ascii="Arial" w:hAnsi="Arial" w:cs="Arial"/>
          <w:sz w:val="24"/>
          <w:szCs w:val="24"/>
        </w:rPr>
        <w:t xml:space="preserve">Po zamknięciu części jawnej przetargu Komisja Przetargowa może postanowić o przeprowadzeniu ekspertyzy opiniującej złożone oferty zakwalifikowane do części niejawnej lub zwrócić się do Oferentów o złożenie dodatkowych informacji pisemnych, określając jednocześnie termin ich przedłożenia, który nie może być krótszy niż 7 dni. </w:t>
      </w:r>
    </w:p>
    <w:p w:rsidR="00B41683" w:rsidRDefault="00B41683" w:rsidP="00C520F1">
      <w:pPr>
        <w:ind w:left="360"/>
        <w:jc w:val="both"/>
        <w:rPr>
          <w:rFonts w:ascii="Arial" w:hAnsi="Arial" w:cs="Arial"/>
          <w:sz w:val="24"/>
          <w:szCs w:val="24"/>
        </w:rPr>
      </w:pPr>
    </w:p>
    <w:p w:rsidR="00B41683" w:rsidRDefault="00B41683" w:rsidP="00B41683">
      <w:pPr>
        <w:pStyle w:val="Akapitzlist"/>
        <w:numPr>
          <w:ilvl w:val="0"/>
          <w:numId w:val="7"/>
        </w:numPr>
        <w:jc w:val="both"/>
        <w:rPr>
          <w:rFonts w:ascii="Arial" w:hAnsi="Arial" w:cs="Arial"/>
          <w:sz w:val="24"/>
          <w:szCs w:val="24"/>
          <w:u w:val="single"/>
        </w:rPr>
      </w:pPr>
      <w:r w:rsidRPr="00B41683">
        <w:rPr>
          <w:rFonts w:ascii="Arial" w:hAnsi="Arial" w:cs="Arial"/>
          <w:sz w:val="24"/>
          <w:szCs w:val="24"/>
          <w:u w:val="single"/>
        </w:rPr>
        <w:t>Część niejawna przetargu:</w:t>
      </w:r>
    </w:p>
    <w:p w:rsidR="00D2417D" w:rsidRDefault="00B41683" w:rsidP="00B41683">
      <w:pPr>
        <w:pStyle w:val="Akapitzlist"/>
        <w:jc w:val="both"/>
        <w:rPr>
          <w:rFonts w:ascii="Arial" w:hAnsi="Arial" w:cs="Arial"/>
          <w:sz w:val="24"/>
          <w:szCs w:val="24"/>
        </w:rPr>
      </w:pPr>
      <w:r w:rsidRPr="00B41683">
        <w:rPr>
          <w:rFonts w:ascii="Arial" w:hAnsi="Arial" w:cs="Arial"/>
          <w:sz w:val="24"/>
          <w:szCs w:val="24"/>
        </w:rPr>
        <w:t xml:space="preserve">W części </w:t>
      </w:r>
      <w:r>
        <w:rPr>
          <w:rFonts w:ascii="Arial" w:hAnsi="Arial" w:cs="Arial"/>
          <w:sz w:val="24"/>
          <w:szCs w:val="24"/>
        </w:rPr>
        <w:t>niejawnej przetargu Komisja Przetargowa sprawdza kompletność ofert i dokonuje wyboru oferty z najwyższą ceną</w:t>
      </w:r>
      <w:r w:rsidR="00D2417D">
        <w:rPr>
          <w:rFonts w:ascii="Arial" w:hAnsi="Arial" w:cs="Arial"/>
          <w:sz w:val="24"/>
          <w:szCs w:val="24"/>
        </w:rPr>
        <w:t>.</w:t>
      </w:r>
    </w:p>
    <w:p w:rsidR="00D2417D" w:rsidRDefault="00D2417D" w:rsidP="00B41683">
      <w:pPr>
        <w:pStyle w:val="Akapitzlist"/>
        <w:jc w:val="both"/>
        <w:rPr>
          <w:rFonts w:ascii="Arial" w:hAnsi="Arial" w:cs="Arial"/>
          <w:sz w:val="24"/>
          <w:szCs w:val="24"/>
        </w:rPr>
      </w:pPr>
      <w:r>
        <w:rPr>
          <w:rFonts w:ascii="Arial" w:hAnsi="Arial" w:cs="Arial"/>
          <w:sz w:val="24"/>
          <w:szCs w:val="24"/>
        </w:rPr>
        <w:t xml:space="preserve">Warunkiem koniecznym rozstrzygnięcia przetargu </w:t>
      </w:r>
      <w:r w:rsidR="001B64C2">
        <w:rPr>
          <w:rFonts w:ascii="Arial" w:hAnsi="Arial" w:cs="Arial"/>
          <w:sz w:val="24"/>
          <w:szCs w:val="24"/>
        </w:rPr>
        <w:t xml:space="preserve">z </w:t>
      </w:r>
      <w:r>
        <w:rPr>
          <w:rFonts w:ascii="Arial" w:hAnsi="Arial" w:cs="Arial"/>
          <w:sz w:val="24"/>
          <w:szCs w:val="24"/>
        </w:rPr>
        <w:t xml:space="preserve">wynikiem pozytywnym jest: </w:t>
      </w:r>
    </w:p>
    <w:p w:rsidR="00D2417D" w:rsidRDefault="00D2417D" w:rsidP="00D2417D">
      <w:pPr>
        <w:pStyle w:val="Akapitzlist"/>
        <w:numPr>
          <w:ilvl w:val="0"/>
          <w:numId w:val="8"/>
        </w:numPr>
        <w:jc w:val="both"/>
        <w:rPr>
          <w:rFonts w:ascii="Arial" w:hAnsi="Arial" w:cs="Arial"/>
          <w:sz w:val="24"/>
          <w:szCs w:val="24"/>
        </w:rPr>
      </w:pPr>
      <w:r>
        <w:rPr>
          <w:rFonts w:ascii="Arial" w:hAnsi="Arial" w:cs="Arial"/>
          <w:sz w:val="24"/>
          <w:szCs w:val="24"/>
        </w:rPr>
        <w:t xml:space="preserve">Zaoferowanie ceny nie niższej niż cena wywoławcza nieruchomości </w:t>
      </w:r>
      <w:r w:rsidR="001B64C2">
        <w:rPr>
          <w:rFonts w:ascii="Arial" w:hAnsi="Arial" w:cs="Arial"/>
          <w:sz w:val="24"/>
          <w:szCs w:val="24"/>
        </w:rPr>
        <w:t xml:space="preserve">wykazana w tabeli ogłoszenia </w:t>
      </w:r>
      <w:r>
        <w:rPr>
          <w:rFonts w:ascii="Arial" w:hAnsi="Arial" w:cs="Arial"/>
          <w:sz w:val="24"/>
          <w:szCs w:val="24"/>
        </w:rPr>
        <w:t>oraz</w:t>
      </w:r>
    </w:p>
    <w:p w:rsidR="00D2417D" w:rsidRDefault="00D2417D" w:rsidP="00D2417D">
      <w:pPr>
        <w:pStyle w:val="Akapitzlist"/>
        <w:numPr>
          <w:ilvl w:val="0"/>
          <w:numId w:val="8"/>
        </w:numPr>
        <w:jc w:val="both"/>
        <w:rPr>
          <w:rFonts w:ascii="Arial" w:hAnsi="Arial" w:cs="Arial"/>
          <w:sz w:val="24"/>
          <w:szCs w:val="24"/>
        </w:rPr>
      </w:pPr>
      <w:r>
        <w:rPr>
          <w:rFonts w:ascii="Arial" w:hAnsi="Arial" w:cs="Arial"/>
          <w:sz w:val="24"/>
          <w:szCs w:val="24"/>
        </w:rPr>
        <w:t>Złożenie wraz z ofertą wszystkich wymaganych dokumentów zgodnie z pkt 6 niniejszej Specyfikacji.</w:t>
      </w:r>
    </w:p>
    <w:p w:rsidR="00D2417D" w:rsidRDefault="00D2417D" w:rsidP="00D2417D">
      <w:pPr>
        <w:ind w:left="720"/>
        <w:jc w:val="both"/>
        <w:rPr>
          <w:rFonts w:ascii="Arial" w:hAnsi="Arial" w:cs="Arial"/>
          <w:sz w:val="24"/>
          <w:szCs w:val="24"/>
        </w:rPr>
      </w:pPr>
      <w:r>
        <w:rPr>
          <w:rFonts w:ascii="Arial" w:hAnsi="Arial" w:cs="Arial"/>
          <w:sz w:val="24"/>
          <w:szCs w:val="24"/>
        </w:rPr>
        <w:t xml:space="preserve">Przetarg wygra oferent, który zaoferuje najwyższą cenę. </w:t>
      </w:r>
    </w:p>
    <w:p w:rsidR="00D2417D" w:rsidRDefault="00D2417D" w:rsidP="00D2417D">
      <w:pPr>
        <w:ind w:left="720"/>
        <w:jc w:val="both"/>
        <w:rPr>
          <w:rFonts w:ascii="Arial" w:hAnsi="Arial" w:cs="Arial"/>
          <w:sz w:val="24"/>
          <w:szCs w:val="24"/>
        </w:rPr>
      </w:pPr>
      <w:r>
        <w:rPr>
          <w:rFonts w:ascii="Arial" w:hAnsi="Arial" w:cs="Arial"/>
          <w:sz w:val="24"/>
          <w:szCs w:val="24"/>
        </w:rPr>
        <w:t xml:space="preserve">W razie ustalenia, że kilku oferentów zaoferowało tę samą cenę, prowadzący przetarg informuje oferentów o terminie i miejscu kontynuacji przetargu w formie licytacji. W przypadku obecności wszystkich oferentów prowadzący przetarg kontynuuje przetarg w formie licytacji. Postąpienie wyniesie 1% </w:t>
      </w:r>
      <w:r w:rsidR="001B64C2">
        <w:rPr>
          <w:rFonts w:ascii="Arial" w:hAnsi="Arial" w:cs="Arial"/>
          <w:sz w:val="24"/>
          <w:szCs w:val="24"/>
        </w:rPr>
        <w:t xml:space="preserve">ceny wywoławczej nieruchomości lub zostanie uzgodnione z oferentem. </w:t>
      </w:r>
    </w:p>
    <w:p w:rsidR="00A24B6F" w:rsidRDefault="00D2417D" w:rsidP="00D2417D">
      <w:pPr>
        <w:ind w:left="720"/>
        <w:jc w:val="both"/>
        <w:rPr>
          <w:rFonts w:ascii="Arial" w:hAnsi="Arial" w:cs="Arial"/>
          <w:sz w:val="24"/>
          <w:szCs w:val="24"/>
        </w:rPr>
      </w:pPr>
      <w:r>
        <w:rPr>
          <w:rFonts w:ascii="Arial" w:hAnsi="Arial" w:cs="Arial"/>
          <w:sz w:val="24"/>
          <w:szCs w:val="24"/>
        </w:rPr>
        <w:t xml:space="preserve">Oferent jest związany ofertą w terminie 30 dni od dnia jej złożenia. Oferta złożona w toku przetargu przestaje wiązać, gdy została wybrana inna oferta lub gdy przetarg </w:t>
      </w:r>
      <w:r w:rsidR="00A24B6F">
        <w:rPr>
          <w:rFonts w:ascii="Arial" w:hAnsi="Arial" w:cs="Arial"/>
          <w:sz w:val="24"/>
          <w:szCs w:val="24"/>
        </w:rPr>
        <w:t xml:space="preserve">został zamknięty bez wybrania którejkolwiek z ofert. </w:t>
      </w:r>
    </w:p>
    <w:p w:rsidR="00B41683" w:rsidRDefault="00A24B6F" w:rsidP="00A24B6F">
      <w:pPr>
        <w:pStyle w:val="Akapitzlist"/>
        <w:numPr>
          <w:ilvl w:val="0"/>
          <w:numId w:val="8"/>
        </w:numPr>
        <w:jc w:val="both"/>
        <w:rPr>
          <w:rFonts w:ascii="Arial" w:hAnsi="Arial" w:cs="Arial"/>
          <w:sz w:val="24"/>
          <w:szCs w:val="24"/>
          <w:u w:val="single"/>
        </w:rPr>
      </w:pPr>
      <w:r w:rsidRPr="00A24B6F">
        <w:rPr>
          <w:rFonts w:ascii="Arial" w:hAnsi="Arial" w:cs="Arial"/>
          <w:sz w:val="24"/>
          <w:szCs w:val="24"/>
          <w:u w:val="single"/>
        </w:rPr>
        <w:t>Wynik przetargu</w:t>
      </w:r>
      <w:r w:rsidR="00B41683" w:rsidRPr="00A24B6F">
        <w:rPr>
          <w:rFonts w:ascii="Arial" w:hAnsi="Arial" w:cs="Arial"/>
          <w:sz w:val="24"/>
          <w:szCs w:val="24"/>
          <w:u w:val="single"/>
        </w:rPr>
        <w:t xml:space="preserve"> </w:t>
      </w:r>
    </w:p>
    <w:p w:rsidR="00A24B6F" w:rsidRDefault="00A24B6F" w:rsidP="00A24B6F">
      <w:pPr>
        <w:ind w:left="720"/>
        <w:jc w:val="both"/>
        <w:rPr>
          <w:rFonts w:ascii="Arial" w:hAnsi="Arial" w:cs="Arial"/>
          <w:sz w:val="24"/>
          <w:szCs w:val="24"/>
        </w:rPr>
      </w:pPr>
      <w:r w:rsidRPr="00A24B6F">
        <w:rPr>
          <w:rFonts w:ascii="Arial" w:hAnsi="Arial" w:cs="Arial"/>
          <w:sz w:val="24"/>
          <w:szCs w:val="24"/>
        </w:rPr>
        <w:t xml:space="preserve">Ogłoszenie wyników przetargu </w:t>
      </w:r>
      <w:r>
        <w:rPr>
          <w:rFonts w:ascii="Arial" w:hAnsi="Arial" w:cs="Arial"/>
          <w:sz w:val="24"/>
          <w:szCs w:val="24"/>
        </w:rPr>
        <w:t xml:space="preserve">nastąpi w terminie 3 dni od dnia zamknięcia przetargu i zatwierdzenia wyników przez Zarząd PARR S.A. </w:t>
      </w:r>
    </w:p>
    <w:p w:rsidR="00A24B6F" w:rsidRDefault="00A24B6F" w:rsidP="00A24B6F">
      <w:pPr>
        <w:ind w:left="720"/>
        <w:jc w:val="both"/>
        <w:rPr>
          <w:rFonts w:ascii="Arial" w:hAnsi="Arial" w:cs="Arial"/>
          <w:sz w:val="24"/>
          <w:szCs w:val="24"/>
        </w:rPr>
      </w:pPr>
      <w:r>
        <w:rPr>
          <w:rFonts w:ascii="Arial" w:hAnsi="Arial" w:cs="Arial"/>
          <w:sz w:val="24"/>
          <w:szCs w:val="24"/>
        </w:rPr>
        <w:t>O wyn</w:t>
      </w:r>
      <w:r w:rsidR="001B64C2">
        <w:rPr>
          <w:rFonts w:ascii="Arial" w:hAnsi="Arial" w:cs="Arial"/>
          <w:sz w:val="24"/>
          <w:szCs w:val="24"/>
        </w:rPr>
        <w:t>ikach przetargu zawiadamia się na</w:t>
      </w:r>
      <w:r>
        <w:rPr>
          <w:rFonts w:ascii="Arial" w:hAnsi="Arial" w:cs="Arial"/>
          <w:sz w:val="24"/>
          <w:szCs w:val="24"/>
        </w:rPr>
        <w:t xml:space="preserve"> piśmie wszystkich Oferentów zakwalifikowanych do części niejawnej przetargu oraz na stronie internetowej </w:t>
      </w:r>
      <w:hyperlink r:id="rId10" w:history="1">
        <w:r w:rsidRPr="00724AC2">
          <w:rPr>
            <w:rStyle w:val="Hipercze"/>
            <w:rFonts w:ascii="Arial" w:hAnsi="Arial" w:cs="Arial"/>
            <w:sz w:val="24"/>
            <w:szCs w:val="24"/>
          </w:rPr>
          <w:t>www.sse.slupsk.pl</w:t>
        </w:r>
      </w:hyperlink>
      <w:r>
        <w:rPr>
          <w:rFonts w:ascii="Arial" w:hAnsi="Arial" w:cs="Arial"/>
          <w:sz w:val="24"/>
          <w:szCs w:val="24"/>
        </w:rPr>
        <w:t xml:space="preserve"> i Biuletynie Informacji Publicznej PARR S.A. </w:t>
      </w:r>
    </w:p>
    <w:p w:rsidR="00B35A24" w:rsidRPr="00A24B6F" w:rsidRDefault="00A24B6F" w:rsidP="00A24B6F">
      <w:pPr>
        <w:ind w:left="720"/>
        <w:jc w:val="both"/>
        <w:rPr>
          <w:rFonts w:ascii="Arial" w:hAnsi="Arial" w:cs="Arial"/>
          <w:sz w:val="24"/>
          <w:szCs w:val="24"/>
        </w:rPr>
      </w:pPr>
      <w:r>
        <w:rPr>
          <w:rFonts w:ascii="Arial" w:hAnsi="Arial" w:cs="Arial"/>
          <w:sz w:val="24"/>
          <w:szCs w:val="24"/>
        </w:rPr>
        <w:t xml:space="preserve">Protokół z przetargu stanowić będzie podstawę do zawarcia notarialnej umowy sprzedaży. </w:t>
      </w:r>
    </w:p>
    <w:p w:rsidR="00B35A24" w:rsidRPr="00B35A24" w:rsidRDefault="00B35A24" w:rsidP="00B35A24">
      <w:pPr>
        <w:pStyle w:val="Akapitzlist"/>
        <w:numPr>
          <w:ilvl w:val="0"/>
          <w:numId w:val="3"/>
        </w:numPr>
        <w:rPr>
          <w:rFonts w:ascii="Arial" w:hAnsi="Arial" w:cs="Arial"/>
          <w:b/>
          <w:sz w:val="24"/>
          <w:szCs w:val="24"/>
        </w:rPr>
      </w:pPr>
      <w:r>
        <w:rPr>
          <w:rFonts w:ascii="Arial" w:hAnsi="Arial" w:cs="Arial"/>
          <w:b/>
          <w:sz w:val="24"/>
          <w:szCs w:val="24"/>
        </w:rPr>
        <w:t xml:space="preserve">Odstąpienie od przetargu </w:t>
      </w:r>
    </w:p>
    <w:p w:rsidR="00B35A24" w:rsidRDefault="00A24B6F" w:rsidP="00A24B6F">
      <w:pPr>
        <w:spacing w:after="0"/>
        <w:jc w:val="both"/>
        <w:rPr>
          <w:rFonts w:ascii="Arial" w:hAnsi="Arial" w:cs="Arial"/>
          <w:sz w:val="24"/>
          <w:szCs w:val="24"/>
        </w:rPr>
      </w:pPr>
      <w:r>
        <w:rPr>
          <w:rFonts w:ascii="Arial" w:hAnsi="Arial" w:cs="Arial"/>
          <w:sz w:val="24"/>
          <w:szCs w:val="24"/>
        </w:rPr>
        <w:t>Pomorskiej Agencji Rozwoju Regionalnego S.A. przysługuje prawo zamknięcia przetargu na każdym etapie postępowania bez</w:t>
      </w:r>
      <w:r w:rsidR="001B64C2">
        <w:rPr>
          <w:rFonts w:ascii="Arial" w:hAnsi="Arial" w:cs="Arial"/>
          <w:sz w:val="24"/>
          <w:szCs w:val="24"/>
        </w:rPr>
        <w:t xml:space="preserve"> wybrania którejkolwiek z ofert i</w:t>
      </w:r>
      <w:r>
        <w:rPr>
          <w:rFonts w:ascii="Arial" w:hAnsi="Arial" w:cs="Arial"/>
          <w:sz w:val="24"/>
          <w:szCs w:val="24"/>
        </w:rPr>
        <w:t xml:space="preserve"> bez podania przyczyny. </w:t>
      </w:r>
    </w:p>
    <w:p w:rsidR="00A24B6F" w:rsidRDefault="00A24B6F" w:rsidP="00B35A24">
      <w:pPr>
        <w:spacing w:after="0"/>
        <w:rPr>
          <w:rFonts w:ascii="Arial" w:hAnsi="Arial" w:cs="Arial"/>
          <w:sz w:val="24"/>
          <w:szCs w:val="24"/>
        </w:rPr>
      </w:pPr>
    </w:p>
    <w:p w:rsidR="00A24B6F" w:rsidRPr="00A24B6F" w:rsidRDefault="00A24B6F" w:rsidP="00B35A24">
      <w:pPr>
        <w:spacing w:after="0"/>
        <w:rPr>
          <w:rFonts w:ascii="Arial" w:hAnsi="Arial" w:cs="Arial"/>
          <w:sz w:val="24"/>
          <w:szCs w:val="24"/>
        </w:rPr>
      </w:pPr>
      <w:r>
        <w:rPr>
          <w:rFonts w:ascii="Arial" w:hAnsi="Arial" w:cs="Arial"/>
          <w:sz w:val="24"/>
          <w:szCs w:val="24"/>
        </w:rPr>
        <w:t xml:space="preserve">Wszelkich niezbędnych informacji dotyczących składania ofert udziela </w:t>
      </w:r>
      <w:r w:rsidR="00AB7181">
        <w:rPr>
          <w:rFonts w:ascii="Arial" w:hAnsi="Arial" w:cs="Arial"/>
          <w:sz w:val="24"/>
          <w:szCs w:val="24"/>
        </w:rPr>
        <w:t xml:space="preserve">się w PARR S.A. pod numerem telefonu: (059) 840 11 74. </w:t>
      </w:r>
    </w:p>
    <w:sectPr w:rsidR="00A24B6F" w:rsidRPr="00A24B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70" w:rsidRDefault="00995970" w:rsidP="00995970">
      <w:pPr>
        <w:spacing w:after="0" w:line="240" w:lineRule="auto"/>
      </w:pPr>
      <w:r>
        <w:separator/>
      </w:r>
    </w:p>
  </w:endnote>
  <w:endnote w:type="continuationSeparator" w:id="0">
    <w:p w:rsidR="00995970" w:rsidRDefault="00995970" w:rsidP="009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08428"/>
      <w:docPartObj>
        <w:docPartGallery w:val="Page Numbers (Bottom of Page)"/>
        <w:docPartUnique/>
      </w:docPartObj>
    </w:sdtPr>
    <w:sdtEndPr/>
    <w:sdtContent>
      <w:p w:rsidR="00995970" w:rsidRDefault="00995970">
        <w:pPr>
          <w:pStyle w:val="Stopka"/>
          <w:jc w:val="right"/>
        </w:pPr>
        <w:r>
          <w:fldChar w:fldCharType="begin"/>
        </w:r>
        <w:r>
          <w:instrText>PAGE   \* MERGEFORMAT</w:instrText>
        </w:r>
        <w:r>
          <w:fldChar w:fldCharType="separate"/>
        </w:r>
        <w:r w:rsidR="006B58F8">
          <w:rPr>
            <w:noProof/>
          </w:rPr>
          <w:t>3</w:t>
        </w:r>
        <w:r>
          <w:fldChar w:fldCharType="end"/>
        </w:r>
      </w:p>
    </w:sdtContent>
  </w:sdt>
  <w:p w:rsidR="00995970" w:rsidRDefault="009959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70" w:rsidRDefault="00995970" w:rsidP="00995970">
      <w:pPr>
        <w:spacing w:after="0" w:line="240" w:lineRule="auto"/>
      </w:pPr>
      <w:r>
        <w:separator/>
      </w:r>
    </w:p>
  </w:footnote>
  <w:footnote w:type="continuationSeparator" w:id="0">
    <w:p w:rsidR="00995970" w:rsidRDefault="00995970" w:rsidP="0099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C76"/>
    <w:multiLevelType w:val="hybridMultilevel"/>
    <w:tmpl w:val="8AFA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C1D72"/>
    <w:multiLevelType w:val="hybridMultilevel"/>
    <w:tmpl w:val="87E4CD86"/>
    <w:lvl w:ilvl="0" w:tplc="9BB27A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1D71220"/>
    <w:multiLevelType w:val="hybridMultilevel"/>
    <w:tmpl w:val="E2E89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B7D7A"/>
    <w:multiLevelType w:val="hybridMultilevel"/>
    <w:tmpl w:val="BCEC1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23D60"/>
    <w:multiLevelType w:val="hybridMultilevel"/>
    <w:tmpl w:val="B2947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827864"/>
    <w:multiLevelType w:val="hybridMultilevel"/>
    <w:tmpl w:val="DED4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522206"/>
    <w:multiLevelType w:val="hybridMultilevel"/>
    <w:tmpl w:val="09F4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2565F7"/>
    <w:multiLevelType w:val="hybridMultilevel"/>
    <w:tmpl w:val="E79E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D2"/>
    <w:rsid w:val="000478BE"/>
    <w:rsid w:val="00063219"/>
    <w:rsid w:val="00071674"/>
    <w:rsid w:val="00096557"/>
    <w:rsid w:val="000E4360"/>
    <w:rsid w:val="001217D1"/>
    <w:rsid w:val="001573CC"/>
    <w:rsid w:val="0019165D"/>
    <w:rsid w:val="001B64C2"/>
    <w:rsid w:val="001C76E4"/>
    <w:rsid w:val="0024346F"/>
    <w:rsid w:val="002B5404"/>
    <w:rsid w:val="00411CD3"/>
    <w:rsid w:val="00412413"/>
    <w:rsid w:val="00434469"/>
    <w:rsid w:val="004425E7"/>
    <w:rsid w:val="005B3E60"/>
    <w:rsid w:val="005C4CD8"/>
    <w:rsid w:val="006A0840"/>
    <w:rsid w:val="006A1B32"/>
    <w:rsid w:val="006B58F8"/>
    <w:rsid w:val="006C29F6"/>
    <w:rsid w:val="007E7C10"/>
    <w:rsid w:val="00834392"/>
    <w:rsid w:val="00845E54"/>
    <w:rsid w:val="00871AB7"/>
    <w:rsid w:val="00895723"/>
    <w:rsid w:val="008F31BF"/>
    <w:rsid w:val="0094560A"/>
    <w:rsid w:val="009903EE"/>
    <w:rsid w:val="00995970"/>
    <w:rsid w:val="009A262D"/>
    <w:rsid w:val="009D52D2"/>
    <w:rsid w:val="00A24B6F"/>
    <w:rsid w:val="00A3621D"/>
    <w:rsid w:val="00A65491"/>
    <w:rsid w:val="00A96E7C"/>
    <w:rsid w:val="00AB7181"/>
    <w:rsid w:val="00B35A24"/>
    <w:rsid w:val="00B41683"/>
    <w:rsid w:val="00B87247"/>
    <w:rsid w:val="00BA63A2"/>
    <w:rsid w:val="00BB0D60"/>
    <w:rsid w:val="00BE5552"/>
    <w:rsid w:val="00BF3F70"/>
    <w:rsid w:val="00C520F1"/>
    <w:rsid w:val="00C618AD"/>
    <w:rsid w:val="00CB1B4C"/>
    <w:rsid w:val="00D106DD"/>
    <w:rsid w:val="00D2417D"/>
    <w:rsid w:val="00DA5056"/>
    <w:rsid w:val="00E023D5"/>
    <w:rsid w:val="00E33FD2"/>
    <w:rsid w:val="00ED4D54"/>
    <w:rsid w:val="00EE51C7"/>
    <w:rsid w:val="00F05ED5"/>
    <w:rsid w:val="00F300F2"/>
    <w:rsid w:val="00F473C8"/>
    <w:rsid w:val="00FF7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5491"/>
    <w:pPr>
      <w:ind w:left="720"/>
      <w:contextualSpacing/>
    </w:pPr>
  </w:style>
  <w:style w:type="paragraph" w:styleId="Tekstpodstawowy2">
    <w:name w:val="Body Text 2"/>
    <w:basedOn w:val="Normalny"/>
    <w:link w:val="Tekstpodstawowy2Znak"/>
    <w:rsid w:val="0094560A"/>
    <w:pPr>
      <w:spacing w:after="0" w:line="240" w:lineRule="auto"/>
      <w:jc w:val="both"/>
    </w:pPr>
    <w:rPr>
      <w:rFonts w:ascii="Arial" w:eastAsia="Times New Roman" w:hAnsi="Arial" w:cs="Times New Roman"/>
      <w:sz w:val="24"/>
      <w:szCs w:val="20"/>
      <w:lang w:val="x-none" w:eastAsia="x-none"/>
    </w:rPr>
  </w:style>
  <w:style w:type="character" w:customStyle="1" w:styleId="Tekstpodstawowy2Znak">
    <w:name w:val="Tekst podstawowy 2 Znak"/>
    <w:basedOn w:val="Domylnaczcionkaakapitu"/>
    <w:link w:val="Tekstpodstawowy2"/>
    <w:rsid w:val="0094560A"/>
    <w:rPr>
      <w:rFonts w:ascii="Arial" w:eastAsia="Times New Roman" w:hAnsi="Arial" w:cs="Times New Roman"/>
      <w:sz w:val="24"/>
      <w:szCs w:val="20"/>
      <w:lang w:val="x-none" w:eastAsia="x-none"/>
    </w:rPr>
  </w:style>
  <w:style w:type="character" w:styleId="Hipercze">
    <w:name w:val="Hyperlink"/>
    <w:basedOn w:val="Domylnaczcionkaakapitu"/>
    <w:uiPriority w:val="99"/>
    <w:unhideWhenUsed/>
    <w:rsid w:val="00A24B6F"/>
    <w:rPr>
      <w:color w:val="0000FF" w:themeColor="hyperlink"/>
      <w:u w:val="single"/>
    </w:rPr>
  </w:style>
  <w:style w:type="paragraph" w:styleId="Tekstdymka">
    <w:name w:val="Balloon Text"/>
    <w:basedOn w:val="Normalny"/>
    <w:link w:val="TekstdymkaZnak"/>
    <w:uiPriority w:val="99"/>
    <w:semiHidden/>
    <w:unhideWhenUsed/>
    <w:rsid w:val="006C29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29F6"/>
    <w:rPr>
      <w:rFonts w:ascii="Tahoma" w:hAnsi="Tahoma" w:cs="Tahoma"/>
      <w:sz w:val="16"/>
      <w:szCs w:val="16"/>
    </w:rPr>
  </w:style>
  <w:style w:type="paragraph" w:styleId="Nagwek">
    <w:name w:val="header"/>
    <w:basedOn w:val="Normalny"/>
    <w:link w:val="NagwekZnak"/>
    <w:uiPriority w:val="99"/>
    <w:unhideWhenUsed/>
    <w:rsid w:val="0099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970"/>
  </w:style>
  <w:style w:type="paragraph" w:styleId="Stopka">
    <w:name w:val="footer"/>
    <w:basedOn w:val="Normalny"/>
    <w:link w:val="StopkaZnak"/>
    <w:uiPriority w:val="99"/>
    <w:unhideWhenUsed/>
    <w:rsid w:val="0099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5491"/>
    <w:pPr>
      <w:ind w:left="720"/>
      <w:contextualSpacing/>
    </w:pPr>
  </w:style>
  <w:style w:type="paragraph" w:styleId="Tekstpodstawowy2">
    <w:name w:val="Body Text 2"/>
    <w:basedOn w:val="Normalny"/>
    <w:link w:val="Tekstpodstawowy2Znak"/>
    <w:rsid w:val="0094560A"/>
    <w:pPr>
      <w:spacing w:after="0" w:line="240" w:lineRule="auto"/>
      <w:jc w:val="both"/>
    </w:pPr>
    <w:rPr>
      <w:rFonts w:ascii="Arial" w:eastAsia="Times New Roman" w:hAnsi="Arial" w:cs="Times New Roman"/>
      <w:sz w:val="24"/>
      <w:szCs w:val="20"/>
      <w:lang w:val="x-none" w:eastAsia="x-none"/>
    </w:rPr>
  </w:style>
  <w:style w:type="character" w:customStyle="1" w:styleId="Tekstpodstawowy2Znak">
    <w:name w:val="Tekst podstawowy 2 Znak"/>
    <w:basedOn w:val="Domylnaczcionkaakapitu"/>
    <w:link w:val="Tekstpodstawowy2"/>
    <w:rsid w:val="0094560A"/>
    <w:rPr>
      <w:rFonts w:ascii="Arial" w:eastAsia="Times New Roman" w:hAnsi="Arial" w:cs="Times New Roman"/>
      <w:sz w:val="24"/>
      <w:szCs w:val="20"/>
      <w:lang w:val="x-none" w:eastAsia="x-none"/>
    </w:rPr>
  </w:style>
  <w:style w:type="character" w:styleId="Hipercze">
    <w:name w:val="Hyperlink"/>
    <w:basedOn w:val="Domylnaczcionkaakapitu"/>
    <w:uiPriority w:val="99"/>
    <w:unhideWhenUsed/>
    <w:rsid w:val="00A24B6F"/>
    <w:rPr>
      <w:color w:val="0000FF" w:themeColor="hyperlink"/>
      <w:u w:val="single"/>
    </w:rPr>
  </w:style>
  <w:style w:type="paragraph" w:styleId="Tekstdymka">
    <w:name w:val="Balloon Text"/>
    <w:basedOn w:val="Normalny"/>
    <w:link w:val="TekstdymkaZnak"/>
    <w:uiPriority w:val="99"/>
    <w:semiHidden/>
    <w:unhideWhenUsed/>
    <w:rsid w:val="006C29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29F6"/>
    <w:rPr>
      <w:rFonts w:ascii="Tahoma" w:hAnsi="Tahoma" w:cs="Tahoma"/>
      <w:sz w:val="16"/>
      <w:szCs w:val="16"/>
    </w:rPr>
  </w:style>
  <w:style w:type="paragraph" w:styleId="Nagwek">
    <w:name w:val="header"/>
    <w:basedOn w:val="Normalny"/>
    <w:link w:val="NagwekZnak"/>
    <w:uiPriority w:val="99"/>
    <w:unhideWhenUsed/>
    <w:rsid w:val="0099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970"/>
  </w:style>
  <w:style w:type="paragraph" w:styleId="Stopka">
    <w:name w:val="footer"/>
    <w:basedOn w:val="Normalny"/>
    <w:link w:val="StopkaZnak"/>
    <w:uiPriority w:val="99"/>
    <w:unhideWhenUsed/>
    <w:rsid w:val="0099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6407">
      <w:bodyDiv w:val="1"/>
      <w:marLeft w:val="0"/>
      <w:marRight w:val="0"/>
      <w:marTop w:val="0"/>
      <w:marBottom w:val="0"/>
      <w:divBdr>
        <w:top w:val="none" w:sz="0" w:space="0" w:color="auto"/>
        <w:left w:val="none" w:sz="0" w:space="0" w:color="auto"/>
        <w:bottom w:val="none" w:sz="0" w:space="0" w:color="auto"/>
        <w:right w:val="none" w:sz="0" w:space="0" w:color="auto"/>
      </w:divBdr>
    </w:div>
    <w:div w:id="17255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e.slupsk.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2247</Words>
  <Characters>13482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Literska</dc:creator>
  <cp:lastModifiedBy>Małgorzata Literska</cp:lastModifiedBy>
  <cp:revision>5</cp:revision>
  <cp:lastPrinted>2019-11-28T13:35:00Z</cp:lastPrinted>
  <dcterms:created xsi:type="dcterms:W3CDTF">2019-12-12T07:32:00Z</dcterms:created>
  <dcterms:modified xsi:type="dcterms:W3CDTF">2019-12-12T08:26:00Z</dcterms:modified>
</cp:coreProperties>
</file>